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F3E" w14:textId="77777777" w:rsidR="00E9431F" w:rsidRPr="000F57AA" w:rsidRDefault="00E9431F" w:rsidP="00E9431F">
      <w:pPr>
        <w:pStyle w:val="NoSpacing"/>
        <w:jc w:val="right"/>
        <w:rPr>
          <w:rFonts w:ascii="Times New Roman" w:hAnsi="Times New Roman" w:cs="Times New Roman"/>
          <w:b/>
          <w:bCs/>
          <w:lang w:val="ro-RO"/>
        </w:rPr>
      </w:pPr>
      <w:r w:rsidRPr="000F57AA">
        <w:rPr>
          <w:rFonts w:ascii="Times New Roman" w:hAnsi="Times New Roman" w:cs="Times New Roman"/>
          <w:b/>
          <w:bCs/>
          <w:lang w:val="ro-RO"/>
        </w:rPr>
        <w:t>UE</w:t>
      </w:r>
    </w:p>
    <w:p w14:paraId="03C866A7" w14:textId="77777777" w:rsidR="00E9431F" w:rsidRPr="000F57AA" w:rsidRDefault="00E9431F" w:rsidP="00E9431F">
      <w:pPr>
        <w:spacing w:after="0" w:line="240" w:lineRule="auto"/>
        <w:jc w:val="right"/>
        <w:rPr>
          <w:rFonts w:ascii="Times New Roman" w:eastAsia="Times New Roman" w:hAnsi="Times New Roman" w:cs="Times New Roman"/>
          <w:b/>
          <w:bCs/>
          <w:lang w:val="ro-RO"/>
        </w:rPr>
      </w:pPr>
    </w:p>
    <w:p w14:paraId="3A16C213" w14:textId="77777777" w:rsidR="00E9431F" w:rsidRPr="000F57AA" w:rsidRDefault="00E9431F" w:rsidP="00E9431F">
      <w:pPr>
        <w:widowControl w:val="0"/>
        <w:spacing w:after="0" w:line="240" w:lineRule="auto"/>
        <w:jc w:val="center"/>
        <w:rPr>
          <w:rFonts w:ascii="Times New Roman" w:eastAsia="Courier New" w:hAnsi="Times New Roman" w:cs="Times New Roman"/>
          <w:b/>
          <w:color w:val="000000"/>
          <w:lang w:val="ro-RO" w:eastAsia="ro-RO" w:bidi="ro-RO"/>
        </w:rPr>
      </w:pPr>
      <w:r w:rsidRPr="000F57AA">
        <w:rPr>
          <w:rFonts w:ascii="Times New Roman" w:eastAsia="Courier New" w:hAnsi="Times New Roman" w:cs="Times New Roman"/>
          <w:b/>
          <w:color w:val="000000"/>
          <w:lang w:val="ro-RO" w:eastAsia="ro-RO" w:bidi="ro-RO"/>
        </w:rPr>
        <w:t>COMITETUL EXECUTIV</w:t>
      </w:r>
    </w:p>
    <w:p w14:paraId="16202F97" w14:textId="77777777" w:rsidR="00E9431F" w:rsidRPr="000F57AA" w:rsidRDefault="00E9431F" w:rsidP="00E9431F">
      <w:pPr>
        <w:widowControl w:val="0"/>
        <w:spacing w:after="0" w:line="240" w:lineRule="auto"/>
        <w:jc w:val="center"/>
        <w:rPr>
          <w:rFonts w:ascii="Times New Roman" w:eastAsia="Courier New" w:hAnsi="Times New Roman" w:cs="Times New Roman"/>
          <w:b/>
          <w:color w:val="000000"/>
          <w:lang w:val="ro-RO" w:eastAsia="ro-RO" w:bidi="ro-RO"/>
        </w:rPr>
      </w:pPr>
      <w:r w:rsidRPr="000F57AA">
        <w:rPr>
          <w:rFonts w:ascii="Times New Roman" w:eastAsia="Courier New" w:hAnsi="Times New Roman" w:cs="Times New Roman"/>
          <w:b/>
          <w:color w:val="000000"/>
          <w:lang w:val="ro-RO" w:eastAsia="ro-RO" w:bidi="ro-RO"/>
        </w:rPr>
        <w:t>AL BĂNCII NAȚIONALE A MOLDOVEI</w:t>
      </w:r>
    </w:p>
    <w:p w14:paraId="6BCE81C7" w14:textId="77777777" w:rsidR="00E9431F" w:rsidRPr="000F57AA" w:rsidRDefault="00E9431F" w:rsidP="00E9431F">
      <w:pPr>
        <w:widowControl w:val="0"/>
        <w:spacing w:after="0" w:line="240" w:lineRule="auto"/>
        <w:jc w:val="right"/>
        <w:rPr>
          <w:rFonts w:ascii="Times New Roman" w:eastAsia="Courier New" w:hAnsi="Times New Roman" w:cs="Times New Roman"/>
          <w:b/>
          <w:color w:val="000000"/>
          <w:lang w:val="ro-RO" w:eastAsia="ro-RO" w:bidi="ro-RO"/>
        </w:rPr>
      </w:pPr>
    </w:p>
    <w:p w14:paraId="6C55ABE5" w14:textId="77777777" w:rsidR="00E9431F" w:rsidRPr="000F57AA" w:rsidRDefault="00E9431F" w:rsidP="00E9431F">
      <w:pPr>
        <w:widowControl w:val="0"/>
        <w:spacing w:after="0" w:line="240" w:lineRule="auto"/>
        <w:jc w:val="center"/>
        <w:rPr>
          <w:rFonts w:ascii="Times New Roman" w:eastAsia="Courier New" w:hAnsi="Times New Roman" w:cs="Times New Roman"/>
          <w:b/>
          <w:color w:val="000000"/>
          <w:lang w:val="ro-RO" w:eastAsia="ro-RO" w:bidi="ro-RO"/>
        </w:rPr>
      </w:pPr>
      <w:r w:rsidRPr="000F57AA">
        <w:rPr>
          <w:rFonts w:ascii="Times New Roman" w:eastAsia="Courier New" w:hAnsi="Times New Roman" w:cs="Times New Roman"/>
          <w:b/>
          <w:color w:val="000000"/>
          <w:lang w:val="ro-RO" w:eastAsia="ro-RO" w:bidi="ro-RO"/>
        </w:rPr>
        <w:t>HOTĂRÂREA nr.</w:t>
      </w:r>
    </w:p>
    <w:p w14:paraId="2DB07318" w14:textId="77777777" w:rsidR="00E9431F" w:rsidRPr="000F57AA" w:rsidRDefault="00E9431F" w:rsidP="00E9431F">
      <w:pPr>
        <w:widowControl w:val="0"/>
        <w:spacing w:after="0" w:line="240" w:lineRule="auto"/>
        <w:jc w:val="center"/>
        <w:rPr>
          <w:rFonts w:ascii="Times New Roman" w:eastAsia="Courier New" w:hAnsi="Times New Roman" w:cs="Times New Roman"/>
          <w:b/>
          <w:color w:val="000000"/>
          <w:lang w:val="ro-RO" w:eastAsia="ro-RO" w:bidi="ro-RO"/>
        </w:rPr>
      </w:pPr>
      <w:r w:rsidRPr="000F57AA">
        <w:rPr>
          <w:rFonts w:ascii="Times New Roman" w:eastAsia="Courier New" w:hAnsi="Times New Roman" w:cs="Times New Roman"/>
          <w:b/>
          <w:color w:val="000000"/>
          <w:lang w:val="ro-RO" w:eastAsia="ro-RO" w:bidi="ro-RO"/>
        </w:rPr>
        <w:t>din ___    ____________  20 __</w:t>
      </w:r>
    </w:p>
    <w:p w14:paraId="653C1FC8" w14:textId="77777777" w:rsidR="00E9431F" w:rsidRPr="000F57AA" w:rsidRDefault="00E9431F" w:rsidP="00E9431F">
      <w:pPr>
        <w:widowControl w:val="0"/>
        <w:spacing w:after="0" w:line="240" w:lineRule="auto"/>
        <w:jc w:val="center"/>
        <w:rPr>
          <w:rFonts w:ascii="Times New Roman" w:eastAsia="Courier New" w:hAnsi="Times New Roman" w:cs="Times New Roman"/>
          <w:b/>
          <w:color w:val="000000"/>
          <w:lang w:val="ro-RO" w:eastAsia="ro-RO" w:bidi="ro-RO"/>
        </w:rPr>
      </w:pPr>
    </w:p>
    <w:p w14:paraId="433AE781" w14:textId="293BA6A2" w:rsidR="0062415B" w:rsidRPr="000F57AA" w:rsidRDefault="00E9431F" w:rsidP="0062415B">
      <w:pPr>
        <w:spacing w:after="0" w:line="240" w:lineRule="auto"/>
        <w:jc w:val="center"/>
        <w:rPr>
          <w:rFonts w:ascii="Times New Roman" w:eastAsia="Times New Roman" w:hAnsi="Times New Roman" w:cs="Times New Roman"/>
          <w:b/>
          <w:bCs/>
          <w:lang w:val="ro-RO"/>
        </w:rPr>
      </w:pPr>
      <w:bookmarkStart w:id="0" w:name="_Hlk168920812"/>
      <w:r w:rsidRPr="000F57AA">
        <w:rPr>
          <w:rFonts w:ascii="Times New Roman" w:eastAsia="Times New Roman" w:hAnsi="Times New Roman" w:cs="Times New Roman"/>
          <w:b/>
          <w:bCs/>
          <w:lang w:val="ro-RO"/>
        </w:rPr>
        <w:t xml:space="preserve">Pentru modificarea </w:t>
      </w:r>
      <w:r w:rsidR="0062415B" w:rsidRPr="000F57AA">
        <w:rPr>
          <w:rFonts w:ascii="Times New Roman" w:eastAsia="Times New Roman" w:hAnsi="Times New Roman" w:cs="Times New Roman"/>
          <w:b/>
          <w:bCs/>
          <w:lang w:val="ro-RO"/>
        </w:rPr>
        <w:t xml:space="preserve">Instrucţiunii cu privire la prezentarea de  către bănci  a  rapoartelor  COREP  în  scopuri  de supraveghere, </w:t>
      </w:r>
      <w:r w:rsidR="00AF5BBA" w:rsidRPr="000F57AA">
        <w:rPr>
          <w:rFonts w:ascii="Times New Roman" w:eastAsia="Times New Roman" w:hAnsi="Times New Roman" w:cs="Times New Roman"/>
          <w:b/>
          <w:bCs/>
          <w:lang w:val="ro-RO"/>
        </w:rPr>
        <w:t xml:space="preserve">aprobată </w:t>
      </w:r>
      <w:r w:rsidR="0062415B" w:rsidRPr="000F57AA">
        <w:rPr>
          <w:rFonts w:ascii="Times New Roman" w:eastAsia="Times New Roman" w:hAnsi="Times New Roman" w:cs="Times New Roman"/>
          <w:b/>
          <w:bCs/>
          <w:lang w:val="ro-RO"/>
        </w:rPr>
        <w:t>prin Hotărârea  Comitetului</w:t>
      </w:r>
    </w:p>
    <w:p w14:paraId="4E9C211C" w14:textId="45D0211F" w:rsidR="00E9431F" w:rsidRPr="000F57AA" w:rsidRDefault="0062415B" w:rsidP="0062415B">
      <w:pPr>
        <w:spacing w:after="0" w:line="240" w:lineRule="auto"/>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executiv al Băncii Naţionale a Moldovei nr.117/2018</w:t>
      </w:r>
    </w:p>
    <w:p w14:paraId="13A34DA5" w14:textId="3F73DA20" w:rsidR="00E9431F" w:rsidRPr="000F57AA" w:rsidRDefault="00E9431F" w:rsidP="0062415B">
      <w:pPr>
        <w:spacing w:after="0" w:line="240" w:lineRule="auto"/>
        <w:jc w:val="center"/>
        <w:rPr>
          <w:rFonts w:ascii="Times New Roman" w:eastAsia="Times New Roman" w:hAnsi="Times New Roman" w:cs="Times New Roman"/>
          <w:lang w:val="ro-RO"/>
        </w:rPr>
      </w:pPr>
      <w:r w:rsidRPr="000F57AA">
        <w:rPr>
          <w:rFonts w:ascii="Times New Roman" w:eastAsia="Times New Roman" w:hAnsi="Times New Roman" w:cs="Times New Roman"/>
          <w:b/>
          <w:bCs/>
          <w:lang w:val="ro-RO"/>
        </w:rPr>
        <w:t>(privind raportarea</w:t>
      </w:r>
      <w:r w:rsidR="00DF27DA" w:rsidRPr="000F57AA">
        <w:rPr>
          <w:rFonts w:ascii="Times New Roman" w:eastAsia="Times New Roman" w:hAnsi="Times New Roman" w:cs="Times New Roman"/>
          <w:b/>
          <w:bCs/>
          <w:lang w:val="ro-RO"/>
        </w:rPr>
        <w:t xml:space="preserve"> </w:t>
      </w:r>
      <w:r w:rsidR="0062415B" w:rsidRPr="000F57AA">
        <w:rPr>
          <w:rFonts w:ascii="Times New Roman" w:eastAsia="Times New Roman" w:hAnsi="Times New Roman" w:cs="Times New Roman"/>
          <w:b/>
          <w:bCs/>
          <w:lang w:val="ro-RO"/>
        </w:rPr>
        <w:t>efectului de levier</w:t>
      </w:r>
      <w:r w:rsidRPr="000F57AA">
        <w:rPr>
          <w:rFonts w:ascii="Times New Roman" w:eastAsia="Times New Roman" w:hAnsi="Times New Roman" w:cs="Times New Roman"/>
          <w:b/>
          <w:bCs/>
          <w:lang w:val="ro-RO"/>
        </w:rPr>
        <w:t>)</w:t>
      </w:r>
    </w:p>
    <w:bookmarkEnd w:id="0"/>
    <w:p w14:paraId="7AE66E82" w14:textId="77777777" w:rsidR="00E9431F" w:rsidRPr="000F57AA" w:rsidRDefault="00E9431F" w:rsidP="00E9431F">
      <w:pPr>
        <w:spacing w:after="0" w:line="240" w:lineRule="auto"/>
        <w:ind w:firstLine="567"/>
        <w:jc w:val="both"/>
        <w:rPr>
          <w:rFonts w:ascii="Times New Roman" w:eastAsia="Times New Roman" w:hAnsi="Times New Roman" w:cs="Times New Roman"/>
          <w:lang w:val="ro-RO"/>
        </w:rPr>
      </w:pPr>
    </w:p>
    <w:p w14:paraId="752A5A93" w14:textId="6D38A790" w:rsidR="00E9431F" w:rsidRPr="000F57AA" w:rsidRDefault="00E9431F" w:rsidP="00E9431F">
      <w:pPr>
        <w:spacing w:after="0" w:line="240" w:lineRule="auto"/>
        <w:ind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În temeiul art.44 lit.</w:t>
      </w:r>
      <w:r w:rsidR="00AC1E7C"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a) din Legea nr.548/1995 cu privire la Banca Națională a Moldovei (republicată în Monitorul Oficial al Republicii Moldova, 2015, nr.297-300, art.544),  art.84 alin.(1) din Legea nr.202/2017 privind activitatea băncilor (Monitorul Oficial al Republicii Moldova, 2017, nr.434-439, art.727), și în scopul transpunerii </w:t>
      </w:r>
      <w:bookmarkStart w:id="1" w:name="_Hlk194479275"/>
      <w:r w:rsidR="0062415B" w:rsidRPr="000F57AA">
        <w:rPr>
          <w:rFonts w:ascii="Times New Roman" w:eastAsia="Times New Roman" w:hAnsi="Times New Roman" w:cs="Times New Roman"/>
          <w:lang w:val="ro-RO"/>
        </w:rPr>
        <w:t xml:space="preserve">art.15, anexa X și XI din </w:t>
      </w:r>
      <w:r w:rsidRPr="000F57AA">
        <w:rPr>
          <w:rFonts w:ascii="Times New Roman" w:eastAsia="Times New Roman" w:hAnsi="Times New Roman" w:cs="Times New Roman"/>
          <w:lang w:val="ro-RO"/>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bookmarkEnd w:id="1"/>
      <w:r w:rsidRPr="000F57AA">
        <w:rPr>
          <w:rFonts w:ascii="Times New Roman" w:eastAsia="Times New Roman" w:hAnsi="Times New Roman" w:cs="Times New Roman"/>
          <w:lang w:val="ro-RO"/>
        </w:rPr>
        <w:t>, CELEX: 32021R0451, modificat prin Regulamentul de punere în aplicare (UE) 2022/1994 al Comisiei din 21 noiembrie 2022, Comitetul executiv al Băncii Naţionale a Moldovei</w:t>
      </w:r>
    </w:p>
    <w:p w14:paraId="74E1A239" w14:textId="77777777" w:rsidR="00E9431F" w:rsidRPr="000F57AA" w:rsidRDefault="00E9431F" w:rsidP="00E9431F">
      <w:pPr>
        <w:spacing w:after="0" w:line="240" w:lineRule="auto"/>
        <w:jc w:val="center"/>
        <w:rPr>
          <w:rFonts w:ascii="Times New Roman" w:eastAsia="Times New Roman" w:hAnsi="Times New Roman" w:cs="Times New Roman"/>
          <w:b/>
          <w:bCs/>
          <w:lang w:val="ro-RO"/>
        </w:rPr>
      </w:pPr>
    </w:p>
    <w:p w14:paraId="0F196969" w14:textId="77777777" w:rsidR="00E9431F" w:rsidRPr="000F57AA" w:rsidRDefault="00E9431F" w:rsidP="00E9431F">
      <w:pPr>
        <w:spacing w:after="0" w:line="240" w:lineRule="auto"/>
        <w:jc w:val="center"/>
        <w:rPr>
          <w:rFonts w:ascii="Times New Roman" w:eastAsia="Times New Roman" w:hAnsi="Times New Roman" w:cs="Times New Roman"/>
          <w:lang w:val="ro-RO"/>
        </w:rPr>
      </w:pPr>
      <w:r w:rsidRPr="000F57AA">
        <w:rPr>
          <w:rFonts w:ascii="Times New Roman" w:eastAsia="Times New Roman" w:hAnsi="Times New Roman" w:cs="Times New Roman"/>
          <w:b/>
          <w:bCs/>
          <w:lang w:val="ro-RO"/>
        </w:rPr>
        <w:t>HOTĂRĂŞTE:</w:t>
      </w:r>
    </w:p>
    <w:p w14:paraId="5CED88A1" w14:textId="77777777" w:rsidR="00E9431F" w:rsidRPr="000F57AA" w:rsidRDefault="00E9431F" w:rsidP="00E9431F">
      <w:pPr>
        <w:tabs>
          <w:tab w:val="left" w:pos="1134"/>
        </w:tabs>
        <w:spacing w:after="0" w:line="240" w:lineRule="auto"/>
        <w:ind w:firstLine="720"/>
        <w:jc w:val="both"/>
        <w:rPr>
          <w:rFonts w:ascii="Times New Roman" w:eastAsia="Calibri" w:hAnsi="Times New Roman" w:cs="Times New Roman"/>
          <w:b/>
          <w:bCs/>
          <w:lang w:val="ro-RO" w:eastAsia="ru-RU"/>
        </w:rPr>
      </w:pPr>
    </w:p>
    <w:p w14:paraId="1F9F7E21" w14:textId="26ACA374" w:rsidR="00E9431F" w:rsidRPr="000F57AA" w:rsidRDefault="00E9431F" w:rsidP="00E9431F">
      <w:pPr>
        <w:tabs>
          <w:tab w:val="left" w:pos="1134"/>
        </w:tabs>
        <w:spacing w:after="0" w:line="240" w:lineRule="auto"/>
        <w:ind w:firstLine="720"/>
        <w:jc w:val="both"/>
        <w:rPr>
          <w:rFonts w:ascii="Times New Roman" w:eastAsia="Calibri" w:hAnsi="Times New Roman" w:cs="Times New Roman"/>
          <w:lang w:val="ro-RO"/>
        </w:rPr>
      </w:pPr>
      <w:r w:rsidRPr="000F57AA">
        <w:rPr>
          <w:rFonts w:ascii="Times New Roman" w:eastAsia="Calibri" w:hAnsi="Times New Roman" w:cs="Times New Roman"/>
          <w:b/>
          <w:bCs/>
          <w:lang w:val="ro-RO" w:eastAsia="ru-RU"/>
        </w:rPr>
        <w:t>1.</w:t>
      </w:r>
      <w:r w:rsidRPr="000F57AA">
        <w:rPr>
          <w:rFonts w:ascii="Times New Roman" w:eastAsia="Calibri" w:hAnsi="Times New Roman" w:cs="Times New Roman"/>
          <w:lang w:val="ro-RO" w:eastAsia="ru-RU"/>
        </w:rPr>
        <w:t xml:space="preserve"> Instrucțiunea cu privire la prezentarea de către bănci a rapoartelor COREP în scopuri de supraveghere,</w:t>
      </w:r>
      <w:r w:rsidRPr="000F57AA">
        <w:rPr>
          <w:rFonts w:ascii="Times New Roman" w:eastAsia="Calibri" w:hAnsi="Times New Roman" w:cs="Times New Roman"/>
          <w:lang w:val="ro-RO"/>
        </w:rPr>
        <w:t xml:space="preserve"> aprobată prin Hotărârea Comitetului executiv al Băncii Naționale a Moldovei nr.117/ 2018 (Monitorul Oficial al Republicii Moldova, 2018, nr. 183-194, art. 907), înregistrată la Ministerul Justiţiei al Republicii Moldova cu nr.1337/2018, se modifică după cum urmează:</w:t>
      </w:r>
    </w:p>
    <w:p w14:paraId="44B67235" w14:textId="77777777" w:rsidR="00E9431F" w:rsidRPr="000F57AA" w:rsidRDefault="00E9431F" w:rsidP="00E9431F">
      <w:pPr>
        <w:spacing w:after="0" w:line="240" w:lineRule="auto"/>
        <w:jc w:val="both"/>
        <w:rPr>
          <w:rFonts w:ascii="Times New Roman" w:eastAsia="Times New Roman" w:hAnsi="Times New Roman" w:cs="Times New Roman"/>
          <w:b/>
          <w:bCs/>
          <w:lang w:val="ro-RO"/>
        </w:rPr>
      </w:pPr>
    </w:p>
    <w:p w14:paraId="3BF00278" w14:textId="6820F1E7" w:rsidR="00E9431F" w:rsidRPr="000F57AA" w:rsidRDefault="00890096" w:rsidP="00E20608">
      <w:pPr>
        <w:spacing w:after="0" w:line="240" w:lineRule="auto"/>
        <w:ind w:firstLine="708"/>
        <w:jc w:val="both"/>
        <w:rPr>
          <w:rFonts w:ascii="Times New Roman" w:eastAsia="Times New Roman" w:hAnsi="Times New Roman" w:cs="Times New Roman"/>
          <w:lang w:val="ro-RO"/>
        </w:rPr>
      </w:pPr>
      <w:r w:rsidRPr="000F57AA">
        <w:rPr>
          <w:rFonts w:ascii="Times New Roman" w:eastAsia="Times New Roman" w:hAnsi="Times New Roman" w:cs="Times New Roman"/>
          <w:b/>
          <w:bCs/>
          <w:lang w:val="ro-RO"/>
        </w:rPr>
        <w:t>1.1.</w:t>
      </w:r>
      <w:r w:rsidR="00E9431F" w:rsidRPr="000F57AA">
        <w:rPr>
          <w:rFonts w:ascii="Times New Roman" w:eastAsia="Times New Roman" w:hAnsi="Times New Roman" w:cs="Times New Roman"/>
          <w:lang w:val="ro-RO"/>
        </w:rPr>
        <w:t xml:space="preserve"> în clauza de armonizare:</w:t>
      </w:r>
    </w:p>
    <w:p w14:paraId="456AA30F" w14:textId="52ED23DA" w:rsidR="00E9431F" w:rsidRPr="000F57AA" w:rsidRDefault="00890096" w:rsidP="00E20608">
      <w:pPr>
        <w:spacing w:after="0" w:line="240" w:lineRule="auto"/>
        <w:ind w:firstLine="708"/>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1.1.1.</w:t>
      </w:r>
      <w:r w:rsidR="00E9431F" w:rsidRPr="000F57AA">
        <w:rPr>
          <w:rFonts w:ascii="Times New Roman" w:eastAsia="Times New Roman" w:hAnsi="Times New Roman" w:cs="Times New Roman"/>
          <w:lang w:val="ro-RO"/>
        </w:rPr>
        <w:t xml:space="preserve"> se exclude textul „art.1</w:t>
      </w:r>
      <w:r w:rsidR="00D70695" w:rsidRPr="000F57AA">
        <w:rPr>
          <w:rFonts w:ascii="Times New Roman" w:eastAsia="Times New Roman" w:hAnsi="Times New Roman" w:cs="Times New Roman"/>
          <w:lang w:val="ro-RO"/>
        </w:rPr>
        <w:t>4,</w:t>
      </w:r>
      <w:r w:rsidR="00E9431F" w:rsidRPr="000F57AA">
        <w:rPr>
          <w:rFonts w:ascii="Times New Roman" w:eastAsia="Times New Roman" w:hAnsi="Times New Roman" w:cs="Times New Roman"/>
          <w:lang w:val="ro-RO"/>
        </w:rPr>
        <w:t>” și textul „Anexa X şi Anexa X</w:t>
      </w:r>
      <w:r w:rsidR="00D70695" w:rsidRPr="000F57AA">
        <w:rPr>
          <w:rFonts w:ascii="Times New Roman" w:eastAsia="Times New Roman" w:hAnsi="Times New Roman" w:cs="Times New Roman"/>
          <w:lang w:val="ro-RO"/>
        </w:rPr>
        <w:t>I”;</w:t>
      </w:r>
      <w:r w:rsidR="00E9431F" w:rsidRPr="000F57AA">
        <w:rPr>
          <w:rFonts w:ascii="Times New Roman" w:eastAsia="Times New Roman" w:hAnsi="Times New Roman" w:cs="Times New Roman"/>
          <w:lang w:val="ro-RO"/>
        </w:rPr>
        <w:t xml:space="preserve"> </w:t>
      </w:r>
    </w:p>
    <w:p w14:paraId="26FE5BC1" w14:textId="53ACA9C0" w:rsidR="00E9431F" w:rsidRPr="000F57AA" w:rsidRDefault="00890096" w:rsidP="00E9431F">
      <w:pPr>
        <w:spacing w:after="0" w:line="240" w:lineRule="auto"/>
        <w:ind w:firstLine="708"/>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1.1.2.</w:t>
      </w:r>
      <w:r w:rsidR="00E9431F" w:rsidRPr="000F57AA">
        <w:rPr>
          <w:rFonts w:ascii="Times New Roman" w:eastAsia="Times New Roman" w:hAnsi="Times New Roman" w:cs="Times New Roman"/>
          <w:lang w:val="ro-RO"/>
        </w:rPr>
        <w:t xml:space="preserve"> textul  „ </w:t>
      </w:r>
      <w:bookmarkStart w:id="2" w:name="_Hlk189749137"/>
      <w:r w:rsidR="00E9431F" w:rsidRPr="000F57AA">
        <w:rPr>
          <w:rFonts w:ascii="Times New Roman" w:eastAsia="Times New Roman" w:hAnsi="Times New Roman" w:cs="Times New Roman"/>
          <w:lang w:val="ro-RO"/>
        </w:rPr>
        <w:t>art.16, art.17 lit.(b) și (c), art.18 alin. (1) lit. (c), anexele XII, XIII, XXII, XXIII, XXIV și XXV</w:t>
      </w:r>
      <w:bookmarkEnd w:id="2"/>
      <w:r w:rsidR="00E9431F" w:rsidRPr="000F57AA">
        <w:rPr>
          <w:rFonts w:ascii="Times New Roman" w:eastAsia="Times New Roman" w:hAnsi="Times New Roman" w:cs="Times New Roman"/>
          <w:lang w:val="ro-RO"/>
        </w:rPr>
        <w:t>”</w:t>
      </w:r>
      <w:r w:rsidR="00D70695" w:rsidRPr="000F57AA">
        <w:rPr>
          <w:rFonts w:ascii="Times New Roman" w:eastAsia="Times New Roman" w:hAnsi="Times New Roman" w:cs="Times New Roman"/>
          <w:lang w:val="ro-RO"/>
        </w:rPr>
        <w:t xml:space="preserve"> se substituie cu textul „ art.15, art.16, art.17 lit.(b) și (c), art.18 alin. (1) lit. (c), anexele X, XI, XII, XIII, XXII, XXIII, XXIV și XXV”</w:t>
      </w:r>
      <w:r w:rsidR="00E9431F" w:rsidRPr="000F57AA">
        <w:rPr>
          <w:rFonts w:ascii="Times New Roman" w:eastAsia="Times New Roman" w:hAnsi="Times New Roman" w:cs="Times New Roman"/>
          <w:lang w:val="ro-RO"/>
        </w:rPr>
        <w:t>.</w:t>
      </w:r>
    </w:p>
    <w:p w14:paraId="0712D03C" w14:textId="77777777" w:rsidR="00E9431F" w:rsidRPr="000F57AA" w:rsidRDefault="00E9431F" w:rsidP="00E9431F">
      <w:pPr>
        <w:spacing w:after="0" w:line="240" w:lineRule="auto"/>
        <w:jc w:val="both"/>
        <w:rPr>
          <w:rFonts w:ascii="Times New Roman" w:eastAsia="Times New Roman" w:hAnsi="Times New Roman" w:cs="Times New Roman"/>
          <w:lang w:val="ro-RO"/>
        </w:rPr>
      </w:pPr>
    </w:p>
    <w:p w14:paraId="7282A6A0" w14:textId="49CF9630" w:rsidR="00E9431F" w:rsidRPr="000F57AA" w:rsidRDefault="00890096" w:rsidP="00E20608">
      <w:pPr>
        <w:spacing w:after="0" w:line="240" w:lineRule="auto"/>
        <w:ind w:firstLine="708"/>
        <w:jc w:val="both"/>
        <w:rPr>
          <w:rFonts w:ascii="Times New Roman" w:eastAsia="Times New Roman" w:hAnsi="Times New Roman" w:cs="Times New Roman"/>
          <w:lang w:val="ro-RO"/>
        </w:rPr>
      </w:pPr>
      <w:r w:rsidRPr="000F57AA">
        <w:rPr>
          <w:rFonts w:ascii="Times New Roman" w:eastAsia="Times New Roman" w:hAnsi="Times New Roman" w:cs="Times New Roman"/>
          <w:b/>
          <w:bCs/>
          <w:lang w:val="ro-RO"/>
        </w:rPr>
        <w:t>1.2.</w:t>
      </w:r>
      <w:r w:rsidR="00E9431F" w:rsidRPr="000F57AA">
        <w:rPr>
          <w:rFonts w:ascii="Times New Roman" w:eastAsia="Times New Roman" w:hAnsi="Times New Roman" w:cs="Times New Roman"/>
          <w:lang w:val="ro-RO"/>
        </w:rPr>
        <w:t xml:space="preserve"> Capitolul I</w:t>
      </w:r>
      <w:r w:rsidR="00CC764E" w:rsidRPr="000F57AA">
        <w:rPr>
          <w:rFonts w:ascii="Times New Roman" w:eastAsia="Times New Roman" w:hAnsi="Times New Roman" w:cs="Times New Roman"/>
          <w:lang w:val="ro-RO"/>
        </w:rPr>
        <w:t>,</w:t>
      </w:r>
      <w:r w:rsidR="00E20608" w:rsidRPr="000F57AA">
        <w:rPr>
          <w:rFonts w:ascii="Times New Roman" w:eastAsia="Times New Roman" w:hAnsi="Times New Roman" w:cs="Times New Roman"/>
          <w:lang w:val="ro-RO"/>
        </w:rPr>
        <w:t xml:space="preserve"> s</w:t>
      </w:r>
      <w:r w:rsidR="00E9431F" w:rsidRPr="000F57AA">
        <w:rPr>
          <w:rFonts w:ascii="Times New Roman" w:eastAsia="Times New Roman" w:hAnsi="Times New Roman" w:cs="Times New Roman"/>
          <w:lang w:val="ro-RO"/>
        </w:rPr>
        <w:t xml:space="preserve">ecțiunea </w:t>
      </w:r>
      <w:r w:rsidR="001A1242" w:rsidRPr="000F57AA">
        <w:rPr>
          <w:rFonts w:ascii="Times New Roman" w:eastAsia="Times New Roman" w:hAnsi="Times New Roman" w:cs="Times New Roman"/>
          <w:lang w:val="ro-RO"/>
        </w:rPr>
        <w:t>6</w:t>
      </w:r>
      <w:r w:rsidR="00E9431F" w:rsidRPr="000F57AA">
        <w:rPr>
          <w:rFonts w:ascii="Times New Roman" w:eastAsia="Times New Roman" w:hAnsi="Times New Roman" w:cs="Times New Roman"/>
          <w:lang w:val="ro-RO"/>
        </w:rPr>
        <w:t xml:space="preserve"> va avea următorul cuprins:</w:t>
      </w:r>
    </w:p>
    <w:p w14:paraId="193F3BD1" w14:textId="34547704" w:rsidR="00E9431F" w:rsidRPr="000F57AA" w:rsidRDefault="00E9431F" w:rsidP="00E9431F">
      <w:pPr>
        <w:spacing w:after="0" w:line="240" w:lineRule="auto"/>
        <w:jc w:val="center"/>
        <w:rPr>
          <w:rFonts w:ascii="Times New Roman" w:eastAsia="Times New Roman" w:hAnsi="Times New Roman" w:cs="Times New Roman"/>
          <w:b/>
          <w:bCs/>
          <w:lang w:val="ro-RO"/>
        </w:rPr>
      </w:pPr>
      <w:r w:rsidRPr="000F57AA">
        <w:rPr>
          <w:rFonts w:ascii="Times New Roman" w:eastAsia="Times New Roman" w:hAnsi="Times New Roman" w:cs="Times New Roman"/>
          <w:lang w:val="ro-RO"/>
        </w:rPr>
        <w:t>„</w:t>
      </w:r>
      <w:r w:rsidRPr="000F57AA">
        <w:rPr>
          <w:rFonts w:ascii="Times New Roman" w:eastAsia="Times New Roman" w:hAnsi="Times New Roman" w:cs="Times New Roman"/>
          <w:b/>
          <w:bCs/>
          <w:i/>
          <w:iCs/>
          <w:lang w:val="ro-RO"/>
        </w:rPr>
        <w:t xml:space="preserve">Secţiunea </w:t>
      </w:r>
      <w:r w:rsidR="001A1242" w:rsidRPr="000F57AA">
        <w:rPr>
          <w:rFonts w:ascii="Times New Roman" w:eastAsia="Times New Roman" w:hAnsi="Times New Roman" w:cs="Times New Roman"/>
          <w:b/>
          <w:bCs/>
          <w:i/>
          <w:iCs/>
          <w:lang w:val="ro-RO"/>
        </w:rPr>
        <w:t>6</w:t>
      </w:r>
    </w:p>
    <w:p w14:paraId="49E3B85B" w14:textId="3BC19903" w:rsidR="001A1242" w:rsidRPr="000F57AA" w:rsidRDefault="001A1242" w:rsidP="00E20608">
      <w:pPr>
        <w:spacing w:after="0" w:line="240" w:lineRule="auto"/>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Raportarea indicatorului efectului de levier pe bază individuală și pe bază consolidată</w:t>
      </w:r>
    </w:p>
    <w:p w14:paraId="4D7C4CF3" w14:textId="7ADF0A8C" w:rsidR="00E9431F" w:rsidRPr="000F57AA" w:rsidRDefault="00780EE2" w:rsidP="00780EE2">
      <w:pPr>
        <w:pStyle w:val="ListParagraph"/>
        <w:spacing w:after="0" w:line="240" w:lineRule="auto"/>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20. Pentru a raporta, pe bază individuală și pe bază consolidată, informaţiile cu privire la indicatorul efectului de levier, în conformitate cu pct.</w:t>
      </w:r>
      <w:r w:rsidR="00D43E0F" w:rsidRPr="000F57AA">
        <w:rPr>
          <w:rFonts w:ascii="Times New Roman" w:eastAsia="Times New Roman" w:hAnsi="Times New Roman" w:cs="Times New Roman"/>
          <w:lang w:val="ro-RO"/>
        </w:rPr>
        <w:t xml:space="preserve">69 </w:t>
      </w:r>
      <w:r w:rsidRPr="000F57AA">
        <w:rPr>
          <w:rFonts w:ascii="Times New Roman" w:eastAsia="Times New Roman" w:hAnsi="Times New Roman" w:cs="Times New Roman"/>
          <w:lang w:val="ro-RO"/>
        </w:rPr>
        <w:t>din Regulamentul privind efectul de levier, aprobat prin HCE al BNM nr.XX/2025 (în continuare – Regulamentul nr.XX/2025), băncile transmit informaţiile specificate în anexa nr.</w:t>
      </w:r>
      <w:r w:rsidR="003739DF" w:rsidRPr="000F57AA">
        <w:rPr>
          <w:rFonts w:ascii="Times New Roman" w:eastAsia="Times New Roman" w:hAnsi="Times New Roman" w:cs="Times New Roman"/>
          <w:lang w:val="ro-RO"/>
        </w:rPr>
        <w:t xml:space="preserve">14 </w:t>
      </w:r>
      <w:r w:rsidRPr="000F57AA">
        <w:rPr>
          <w:rFonts w:ascii="Times New Roman" w:eastAsia="Times New Roman" w:hAnsi="Times New Roman" w:cs="Times New Roman"/>
          <w:lang w:val="ro-RO"/>
        </w:rPr>
        <w:t>cu o frecvenţă trimestrială</w:t>
      </w:r>
      <w:r w:rsidR="00FC6FFF" w:rsidRPr="000F57AA">
        <w:rPr>
          <w:rFonts w:ascii="Times New Roman" w:eastAsia="Times New Roman" w:hAnsi="Times New Roman" w:cs="Times New Roman"/>
          <w:lang w:val="ro-RO"/>
        </w:rPr>
        <w:t xml:space="preserve"> </w:t>
      </w:r>
      <w:r w:rsidR="00FC6FFF" w:rsidRPr="000F57AA">
        <w:rPr>
          <w:rFonts w:ascii="Times New Roman" w:eastAsia="Times New Roman" w:hAnsi="Times New Roman" w:cs="Times New Roman"/>
          <w:bCs/>
          <w:lang w:val="ro-RO"/>
        </w:rPr>
        <w:t>– pentru raportarea pe bază individuală</w:t>
      </w:r>
      <w:r w:rsidR="00241B95" w:rsidRPr="000F57AA">
        <w:rPr>
          <w:rFonts w:ascii="Times New Roman" w:eastAsia="Times New Roman" w:hAnsi="Times New Roman" w:cs="Times New Roman"/>
          <w:bCs/>
          <w:lang w:val="ro-RO"/>
        </w:rPr>
        <w:t xml:space="preserve"> (în termen de 10 zile lucrătoare din data de referinţă) </w:t>
      </w:r>
      <w:r w:rsidR="00FC6FFF" w:rsidRPr="000F57AA">
        <w:rPr>
          <w:rFonts w:ascii="Times New Roman" w:eastAsia="Times New Roman" w:hAnsi="Times New Roman" w:cs="Times New Roman"/>
          <w:bCs/>
          <w:lang w:val="ro-RO"/>
        </w:rPr>
        <w:t xml:space="preserve"> și cu o frecvență anuală - pentru raportarea pe bază consolidată</w:t>
      </w:r>
      <w:r w:rsidR="00241B95" w:rsidRPr="000F57AA">
        <w:rPr>
          <w:rFonts w:ascii="Times New Roman" w:eastAsia="Times New Roman" w:hAnsi="Times New Roman" w:cs="Times New Roman"/>
          <w:bCs/>
          <w:lang w:val="ro-RO"/>
        </w:rPr>
        <w:t xml:space="preserve"> (în termenul stabilit la pct.4</w:t>
      </w:r>
      <w:r w:rsidR="00241B95" w:rsidRPr="000F57AA">
        <w:rPr>
          <w:rFonts w:ascii="Times New Roman" w:eastAsia="Times New Roman" w:hAnsi="Times New Roman" w:cs="Times New Roman"/>
          <w:bCs/>
          <w:vertAlign w:val="superscript"/>
          <w:lang w:val="ro-RO"/>
        </w:rPr>
        <w:t>1</w:t>
      </w:r>
      <w:r w:rsidR="00241B95" w:rsidRPr="000F57AA">
        <w:rPr>
          <w:rFonts w:ascii="Times New Roman" w:eastAsia="Times New Roman" w:hAnsi="Times New Roman" w:cs="Times New Roman"/>
          <w:bCs/>
          <w:lang w:val="ro-RO"/>
        </w:rPr>
        <w:t xml:space="preserve"> </w:t>
      </w:r>
      <w:r w:rsidR="003C646A" w:rsidRPr="000F57AA">
        <w:rPr>
          <w:rFonts w:ascii="Times New Roman" w:eastAsia="Times New Roman" w:hAnsi="Times New Roman" w:cs="Times New Roman"/>
          <w:bCs/>
          <w:lang w:val="ro-RO"/>
        </w:rPr>
        <w:t>din prezenta Instrucțiune)</w:t>
      </w:r>
      <w:r w:rsidRPr="000F57AA">
        <w:rPr>
          <w:rFonts w:ascii="Times New Roman" w:eastAsia="Times New Roman" w:hAnsi="Times New Roman" w:cs="Times New Roman"/>
          <w:lang w:val="ro-RO"/>
        </w:rPr>
        <w:t xml:space="preserve">. Numai băncile care sunt societăţi de importanţă sistemică transmit formularul </w:t>
      </w:r>
      <w:r w:rsidR="00FC6FFF" w:rsidRPr="000F57AA">
        <w:rPr>
          <w:rFonts w:ascii="Times New Roman" w:eastAsia="Times New Roman" w:hAnsi="Times New Roman" w:cs="Times New Roman"/>
          <w:lang w:val="ro-RO"/>
        </w:rPr>
        <w:t xml:space="preserve">C </w:t>
      </w:r>
      <w:r w:rsidRPr="000F57AA">
        <w:rPr>
          <w:rFonts w:ascii="Times New Roman" w:eastAsia="Times New Roman" w:hAnsi="Times New Roman" w:cs="Times New Roman"/>
          <w:lang w:val="ro-RO"/>
        </w:rPr>
        <w:t>48.00 din anexa nr.1</w:t>
      </w:r>
      <w:r w:rsidR="00891FF0" w:rsidRPr="000F57AA">
        <w:rPr>
          <w:rFonts w:ascii="Times New Roman" w:eastAsia="Times New Roman" w:hAnsi="Times New Roman" w:cs="Times New Roman"/>
          <w:lang w:val="ro-RO"/>
        </w:rPr>
        <w:t>4</w:t>
      </w:r>
      <w:r w:rsidRPr="000F57AA">
        <w:rPr>
          <w:rFonts w:ascii="Times New Roman" w:eastAsia="Times New Roman" w:hAnsi="Times New Roman" w:cs="Times New Roman"/>
          <w:lang w:val="ro-RO"/>
        </w:rPr>
        <w:t>.</w:t>
      </w:r>
    </w:p>
    <w:p w14:paraId="2BB67703" w14:textId="573BCE80" w:rsidR="004A1605" w:rsidRPr="000F57AA" w:rsidRDefault="004A1605" w:rsidP="004A1605">
      <w:pPr>
        <w:pStyle w:val="ListParagraph"/>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21. Informaţiile specificate în anexa nr.</w:t>
      </w:r>
      <w:r w:rsidR="003739DF" w:rsidRPr="000F57AA">
        <w:rPr>
          <w:rFonts w:ascii="Times New Roman" w:eastAsia="Times New Roman" w:hAnsi="Times New Roman" w:cs="Times New Roman"/>
          <w:lang w:val="ro-RO"/>
        </w:rPr>
        <w:t>14</w:t>
      </w:r>
      <w:r w:rsidRPr="000F57AA">
        <w:rPr>
          <w:rFonts w:ascii="Times New Roman" w:eastAsia="Times New Roman" w:hAnsi="Times New Roman" w:cs="Times New Roman"/>
          <w:lang w:val="ro-RO"/>
        </w:rPr>
        <w:t xml:space="preserve"> formularul</w:t>
      </w:r>
      <w:r w:rsidR="00D10246" w:rsidRPr="000F57AA">
        <w:rPr>
          <w:rFonts w:ascii="Times New Roman" w:eastAsia="Times New Roman" w:hAnsi="Times New Roman" w:cs="Times New Roman"/>
          <w:lang w:val="ro-RO"/>
        </w:rPr>
        <w:t xml:space="preserve"> C</w:t>
      </w:r>
      <w:r w:rsidRPr="000F57AA">
        <w:rPr>
          <w:rFonts w:ascii="Times New Roman" w:eastAsia="Times New Roman" w:hAnsi="Times New Roman" w:cs="Times New Roman"/>
          <w:lang w:val="ro-RO"/>
        </w:rPr>
        <w:t xml:space="preserve"> 40.00 celula {r0410;c0010} se raportează de către bănci cu o frecvenţă anuală. </w:t>
      </w:r>
      <w:r w:rsidR="00CE2480" w:rsidRPr="000F57AA">
        <w:rPr>
          <w:rFonts w:ascii="Times New Roman" w:eastAsia="Times New Roman" w:hAnsi="Times New Roman" w:cs="Times New Roman"/>
          <w:lang w:val="ro-RO"/>
        </w:rPr>
        <w:t>La raportarea pe bază individuală celula respectivă se completează doar în raportul pentru trimestrul IV, iar la raportarea pe bază consolidată</w:t>
      </w:r>
      <w:r w:rsidR="00F10C0F" w:rsidRPr="000F57AA">
        <w:rPr>
          <w:rFonts w:ascii="Times New Roman" w:eastAsia="Times New Roman" w:hAnsi="Times New Roman" w:cs="Times New Roman"/>
          <w:lang w:val="ro-RO"/>
        </w:rPr>
        <w:t>,</w:t>
      </w:r>
      <w:r w:rsidR="00CE2480" w:rsidRPr="000F57AA">
        <w:rPr>
          <w:rFonts w:ascii="Times New Roman" w:eastAsia="Times New Roman" w:hAnsi="Times New Roman" w:cs="Times New Roman"/>
          <w:lang w:val="ro-RO"/>
        </w:rPr>
        <w:t xml:space="preserve"> </w:t>
      </w:r>
      <w:r w:rsidR="00966F22" w:rsidRPr="000F57AA">
        <w:rPr>
          <w:rFonts w:ascii="Times New Roman" w:eastAsia="Times New Roman" w:hAnsi="Times New Roman" w:cs="Times New Roman"/>
          <w:bCs/>
          <w:lang w:val="ro-RO"/>
        </w:rPr>
        <w:t>celula respectivă se completează</w:t>
      </w:r>
      <w:r w:rsidR="00966F22" w:rsidRPr="000F57AA">
        <w:rPr>
          <w:rFonts w:ascii="Times New Roman" w:eastAsia="Times New Roman" w:hAnsi="Times New Roman" w:cs="Times New Roman"/>
          <w:lang w:val="ro-RO"/>
        </w:rPr>
        <w:t xml:space="preserve"> în conformitate cu prevederile pct.4</w:t>
      </w:r>
      <w:r w:rsidR="00966F22" w:rsidRPr="000F57AA">
        <w:rPr>
          <w:rFonts w:ascii="Times New Roman" w:eastAsia="Times New Roman" w:hAnsi="Times New Roman" w:cs="Times New Roman"/>
          <w:vertAlign w:val="superscript"/>
          <w:lang w:val="ro-RO"/>
        </w:rPr>
        <w:t>1</w:t>
      </w:r>
      <w:r w:rsidR="00966F22" w:rsidRPr="000F57AA">
        <w:rPr>
          <w:rFonts w:ascii="Times New Roman" w:eastAsia="Times New Roman" w:hAnsi="Times New Roman" w:cs="Times New Roman"/>
          <w:lang w:val="ro-RO"/>
        </w:rPr>
        <w:t xml:space="preserve"> din prezenta Instrucțiune.</w:t>
      </w:r>
    </w:p>
    <w:p w14:paraId="088D4B9E" w14:textId="597E24D9" w:rsidR="004A1605" w:rsidRPr="000F57AA" w:rsidRDefault="004A1605" w:rsidP="00780EE2">
      <w:pPr>
        <w:pStyle w:val="ListParagraph"/>
        <w:spacing w:after="0" w:line="240" w:lineRule="auto"/>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22. Băncile calculează indicatorul efectului de levier la data de referinţă a raportării, în conformitate cu pct.6-18 din Regulamentul nr.XX/2025.</w:t>
      </w:r>
    </w:p>
    <w:p w14:paraId="39D5A483" w14:textId="2C357A75" w:rsidR="004A1605" w:rsidRPr="000F57AA" w:rsidRDefault="004A1605" w:rsidP="004A1605">
      <w:pPr>
        <w:spacing w:after="0"/>
        <w:ind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23. Băncile raportează informaţiile menţionate în anexa nr.</w:t>
      </w:r>
      <w:r w:rsidR="003739DF" w:rsidRPr="000F57AA">
        <w:rPr>
          <w:rFonts w:ascii="Times New Roman" w:eastAsia="Times New Roman" w:hAnsi="Times New Roman" w:cs="Times New Roman"/>
          <w:lang w:val="ro-RO"/>
        </w:rPr>
        <w:t>14</w:t>
      </w:r>
      <w:r w:rsidR="00804BC2"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punctul 21 în cazul în care este îndeplinită cel puţin una dintre următoarele condiţii: </w:t>
      </w:r>
    </w:p>
    <w:p w14:paraId="0406AEB8" w14:textId="0C1B0102" w:rsidR="004A1605" w:rsidRPr="000F57AA" w:rsidRDefault="004A1605" w:rsidP="004A1605">
      <w:pPr>
        <w:spacing w:after="0"/>
        <w:ind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23.1. cota instrumentelor financiare derivate menţionată în anexa nr.</w:t>
      </w:r>
      <w:r w:rsidR="003739DF" w:rsidRPr="000F57AA">
        <w:rPr>
          <w:rFonts w:ascii="Times New Roman" w:eastAsia="Times New Roman" w:hAnsi="Times New Roman" w:cs="Times New Roman"/>
          <w:lang w:val="ro-RO"/>
        </w:rPr>
        <w:t xml:space="preserve">14 </w:t>
      </w:r>
      <w:r w:rsidR="00804BC2"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punctul 13 este mai mare de 1,5 %; </w:t>
      </w:r>
    </w:p>
    <w:p w14:paraId="6FF478E9" w14:textId="349711CB" w:rsidR="004A1605" w:rsidRPr="000F57AA" w:rsidRDefault="004A1605" w:rsidP="004A1605">
      <w:pPr>
        <w:pStyle w:val="ListParagraph"/>
        <w:spacing w:after="0" w:line="240" w:lineRule="auto"/>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lastRenderedPageBreak/>
        <w:t>23.2. cota instrumentelor financiare derivate menţionată în anexa nr.</w:t>
      </w:r>
      <w:r w:rsidR="003739DF" w:rsidRPr="000F57AA">
        <w:rPr>
          <w:rFonts w:ascii="Times New Roman" w:eastAsia="Times New Roman" w:hAnsi="Times New Roman" w:cs="Times New Roman"/>
          <w:lang w:val="ro-RO"/>
        </w:rPr>
        <w:t xml:space="preserve">14 </w:t>
      </w:r>
      <w:r w:rsidR="00804BC2" w:rsidRPr="000F57AA">
        <w:rPr>
          <w:rFonts w:ascii="Times New Roman" w:eastAsia="Times New Roman" w:hAnsi="Times New Roman" w:cs="Times New Roman"/>
          <w:vertAlign w:val="superscript"/>
          <w:lang w:val="ro-RO"/>
        </w:rPr>
        <w:t xml:space="preserve"> </w:t>
      </w:r>
      <w:r w:rsidRPr="000F57AA">
        <w:rPr>
          <w:rFonts w:ascii="Times New Roman" w:eastAsia="Times New Roman" w:hAnsi="Times New Roman" w:cs="Times New Roman"/>
          <w:lang w:val="ro-RO"/>
        </w:rPr>
        <w:t>punctul 13 este mai mare de 2 %. În cazul în care o bancă îndeplinește numai condiţia de la</w:t>
      </w:r>
      <w:r w:rsidR="00A27704"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subpct.23.1, se aplică criteriile de intrare și de ieșire prevăzute la secțiunea 2, capitolul I din prezenta Instrucțiune. În cazul în care o bancă îndeplinește atât condiţia de la subpct.23.1, cât și condiţia de la subpct.23.2, aceasta începe să raporteze informaţiile respective pentru data de referinţă a raportării</w:t>
      </w:r>
      <w:r w:rsidR="00804BC2" w:rsidRPr="000F57AA">
        <w:rPr>
          <w:rFonts w:ascii="Times New Roman" w:eastAsia="Times New Roman" w:hAnsi="Times New Roman" w:cs="Times New Roman"/>
          <w:lang w:val="ro-RO"/>
        </w:rPr>
        <w:t>,</w:t>
      </w:r>
      <w:r w:rsidRPr="000F57AA">
        <w:rPr>
          <w:rFonts w:ascii="Times New Roman" w:eastAsia="Times New Roman" w:hAnsi="Times New Roman" w:cs="Times New Roman"/>
          <w:lang w:val="ro-RO"/>
        </w:rPr>
        <w:t xml:space="preserve"> ulterioară datei de referinţă în care a depășit pragul.</w:t>
      </w:r>
    </w:p>
    <w:p w14:paraId="0AA97C44" w14:textId="7155A08E" w:rsidR="00B12C0C" w:rsidRPr="000F57AA" w:rsidRDefault="00B12C0C" w:rsidP="004A1605">
      <w:pPr>
        <w:pStyle w:val="ListParagraph"/>
        <w:spacing w:after="0" w:line="240" w:lineRule="auto"/>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24. Băncile pentru care valoarea noţională totală a instrumentelor financiare derivate, astfel cum este definită în anexa nr.1</w:t>
      </w:r>
      <w:r w:rsidR="00891FF0" w:rsidRPr="000F57AA">
        <w:rPr>
          <w:rFonts w:ascii="Times New Roman" w:eastAsia="Times New Roman" w:hAnsi="Times New Roman" w:cs="Times New Roman"/>
          <w:lang w:val="ro-RO"/>
        </w:rPr>
        <w:t>4</w:t>
      </w:r>
      <w:r w:rsidRPr="000F57AA">
        <w:rPr>
          <w:rFonts w:ascii="Times New Roman" w:eastAsia="Times New Roman" w:hAnsi="Times New Roman" w:cs="Times New Roman"/>
          <w:lang w:val="ro-RO"/>
        </w:rPr>
        <w:t xml:space="preserve"> punctul 16, depășește </w:t>
      </w:r>
      <w:bookmarkStart w:id="3" w:name="_Hlk194325078"/>
      <w:r w:rsidR="001C3985" w:rsidRPr="000F57AA">
        <w:rPr>
          <w:rFonts w:ascii="Times New Roman" w:eastAsia="Times New Roman" w:hAnsi="Times New Roman" w:cs="Times New Roman"/>
          <w:lang w:val="ro-RO"/>
        </w:rPr>
        <w:t>echivalentul</w:t>
      </w:r>
      <w:r w:rsidR="00C20026" w:rsidRPr="000F57AA">
        <w:rPr>
          <w:rFonts w:ascii="Times New Roman" w:eastAsia="Times New Roman" w:hAnsi="Times New Roman" w:cs="Times New Roman"/>
          <w:lang w:val="ro-RO" w:eastAsia="ru-RU"/>
        </w:rPr>
        <w:t xml:space="preserve"> </w:t>
      </w:r>
      <w:r w:rsidR="00C20026" w:rsidRPr="000F57AA">
        <w:rPr>
          <w:rFonts w:ascii="Times New Roman" w:eastAsia="Times New Roman" w:hAnsi="Times New Roman" w:cs="Times New Roman"/>
          <w:lang w:val="ro-RO"/>
        </w:rPr>
        <w:t>în lei moldovenești</w:t>
      </w:r>
      <w:r w:rsidR="001C3985" w:rsidRPr="000F57AA">
        <w:rPr>
          <w:rFonts w:ascii="Times New Roman" w:eastAsia="Times New Roman" w:hAnsi="Times New Roman" w:cs="Times New Roman"/>
          <w:lang w:val="ro-RO"/>
        </w:rPr>
        <w:t xml:space="preserve"> a</w:t>
      </w:r>
      <w:bookmarkEnd w:id="3"/>
      <w:r w:rsidR="001C3985"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10 000 de milioane EUR raportează informaţiile menţionate în anexa nr.</w:t>
      </w:r>
      <w:r w:rsidR="003739DF" w:rsidRPr="000F57AA">
        <w:rPr>
          <w:rFonts w:ascii="Times New Roman" w:eastAsia="Times New Roman" w:hAnsi="Times New Roman" w:cs="Times New Roman"/>
          <w:lang w:val="ro-RO"/>
        </w:rPr>
        <w:t xml:space="preserve">14 </w:t>
      </w:r>
      <w:r w:rsidRPr="000F57AA">
        <w:rPr>
          <w:rFonts w:ascii="Times New Roman" w:eastAsia="Times New Roman" w:hAnsi="Times New Roman" w:cs="Times New Roman"/>
          <w:lang w:val="ro-RO"/>
        </w:rPr>
        <w:t>punctul 21, chiar dacă cota lor de instrumente financiare derivate nu îndeplinește condiţiile stabilite la pct.23. În sensul prezentului punct, criteriile de ieșire prevăzute la secțiunea 2, capitolul I din prezenta Instrucțiune  nu se aplică. Atunci când depășesc pragul la o dată de referinţă a raportării, băncile încep să raporteze informaţiile de la următoarea dată de referinţă a raportării.</w:t>
      </w:r>
    </w:p>
    <w:p w14:paraId="425A922F" w14:textId="0263FCEC" w:rsidR="00B12C0C" w:rsidRPr="000F57AA" w:rsidRDefault="00B12C0C" w:rsidP="00B12C0C">
      <w:pPr>
        <w:spacing w:after="0"/>
        <w:ind w:firstLine="567"/>
        <w:rPr>
          <w:rFonts w:ascii="Times New Roman" w:eastAsia="Times New Roman" w:hAnsi="Times New Roman" w:cs="Times New Roman"/>
          <w:lang w:val="ro-RO"/>
        </w:rPr>
      </w:pPr>
      <w:r w:rsidRPr="000F57AA">
        <w:rPr>
          <w:rFonts w:ascii="Times New Roman" w:eastAsia="Times New Roman" w:hAnsi="Times New Roman" w:cs="Times New Roman"/>
          <w:lang w:val="ro-RO"/>
        </w:rPr>
        <w:t>25. Băncile au obligaţia de a raporta informaţiile menţionate în anexa nr.1</w:t>
      </w:r>
      <w:r w:rsidR="00891FF0" w:rsidRPr="000F57AA">
        <w:rPr>
          <w:rFonts w:ascii="Times New Roman" w:eastAsia="Times New Roman" w:hAnsi="Times New Roman" w:cs="Times New Roman"/>
          <w:lang w:val="ro-RO"/>
        </w:rPr>
        <w:t>4</w:t>
      </w:r>
      <w:r w:rsidRPr="000F57AA">
        <w:rPr>
          <w:rFonts w:ascii="Times New Roman" w:eastAsia="Times New Roman" w:hAnsi="Times New Roman" w:cs="Times New Roman"/>
          <w:lang w:val="ro-RO"/>
        </w:rPr>
        <w:t xml:space="preserve"> punctul 22 în cazul în care este îndeplinită cel puţin una dintre următoarele condiţii: </w:t>
      </w:r>
    </w:p>
    <w:p w14:paraId="27A6DE95" w14:textId="1B600891" w:rsidR="00B12C0C" w:rsidRPr="000F57AA" w:rsidRDefault="00B12C0C" w:rsidP="00B12C0C">
      <w:pPr>
        <w:spacing w:after="0"/>
        <w:ind w:firstLine="567"/>
        <w:rPr>
          <w:rFonts w:ascii="Times New Roman" w:eastAsia="Times New Roman" w:hAnsi="Times New Roman" w:cs="Times New Roman"/>
          <w:lang w:val="ro-RO"/>
        </w:rPr>
      </w:pPr>
      <w:r w:rsidRPr="000F57AA">
        <w:rPr>
          <w:rFonts w:ascii="Times New Roman" w:eastAsia="Times New Roman" w:hAnsi="Times New Roman" w:cs="Times New Roman"/>
          <w:lang w:val="ro-RO"/>
        </w:rPr>
        <w:t>25.1. volumul instrumentelor financiare derivate de credit menţionat în anexa nr.1</w:t>
      </w:r>
      <w:r w:rsidR="00891FF0" w:rsidRPr="000F57AA">
        <w:rPr>
          <w:rFonts w:ascii="Times New Roman" w:eastAsia="Times New Roman" w:hAnsi="Times New Roman" w:cs="Times New Roman"/>
          <w:lang w:val="ro-RO"/>
        </w:rPr>
        <w:t>4</w:t>
      </w:r>
      <w:r w:rsidRPr="000F57AA">
        <w:rPr>
          <w:rFonts w:ascii="Times New Roman" w:eastAsia="Times New Roman" w:hAnsi="Times New Roman" w:cs="Times New Roman"/>
          <w:lang w:val="ro-RO"/>
        </w:rPr>
        <w:t xml:space="preserve"> punctul 17 </w:t>
      </w:r>
      <w:r w:rsidR="00EC63C2" w:rsidRPr="000F57AA">
        <w:rPr>
          <w:rFonts w:ascii="Times New Roman" w:eastAsia="Times New Roman" w:hAnsi="Times New Roman" w:cs="Times New Roman"/>
          <w:lang w:val="ro-RO"/>
        </w:rPr>
        <w:t xml:space="preserve">depășește </w:t>
      </w:r>
      <w:r w:rsidR="001C3985" w:rsidRPr="000F57AA">
        <w:rPr>
          <w:rFonts w:ascii="Times New Roman" w:eastAsia="Times New Roman" w:hAnsi="Times New Roman" w:cs="Times New Roman"/>
          <w:lang w:val="ro-RO"/>
        </w:rPr>
        <w:t xml:space="preserve">echivalentul </w:t>
      </w:r>
      <w:r w:rsidR="00D053EC" w:rsidRPr="000F57AA">
        <w:rPr>
          <w:rFonts w:ascii="Times New Roman" w:eastAsia="Times New Roman" w:hAnsi="Times New Roman" w:cs="Times New Roman"/>
          <w:lang w:val="ro-RO"/>
        </w:rPr>
        <w:t xml:space="preserve">în lei moldovenești </w:t>
      </w:r>
      <w:r w:rsidR="001C3985" w:rsidRPr="000F57AA">
        <w:rPr>
          <w:rFonts w:ascii="Times New Roman" w:eastAsia="Times New Roman" w:hAnsi="Times New Roman" w:cs="Times New Roman"/>
          <w:lang w:val="ro-RO"/>
        </w:rPr>
        <w:t>a</w:t>
      </w:r>
      <w:r w:rsidRPr="000F57AA">
        <w:rPr>
          <w:rFonts w:ascii="Times New Roman" w:eastAsia="Times New Roman" w:hAnsi="Times New Roman" w:cs="Times New Roman"/>
          <w:lang w:val="ro-RO"/>
        </w:rPr>
        <w:t xml:space="preserve"> 300 de milioane EUR; </w:t>
      </w:r>
    </w:p>
    <w:p w14:paraId="47B5B4DF" w14:textId="1666B75C" w:rsidR="00B12C0C" w:rsidRPr="000F57AA" w:rsidRDefault="00B12C0C" w:rsidP="00B12C0C">
      <w:pPr>
        <w:spacing w:after="0"/>
        <w:ind w:firstLine="567"/>
        <w:rPr>
          <w:rFonts w:ascii="Times New Roman" w:eastAsia="Times New Roman" w:hAnsi="Times New Roman" w:cs="Times New Roman"/>
          <w:lang w:val="ro-RO"/>
        </w:rPr>
      </w:pPr>
      <w:r w:rsidRPr="000F57AA">
        <w:rPr>
          <w:rFonts w:ascii="Times New Roman" w:eastAsia="Times New Roman" w:hAnsi="Times New Roman" w:cs="Times New Roman"/>
          <w:lang w:val="ro-RO"/>
        </w:rPr>
        <w:t>25.2. volumul instrumentelor financiare derivate de credit menţionat în anexa nr.1</w:t>
      </w:r>
      <w:r w:rsidR="00891FF0" w:rsidRPr="000F57AA">
        <w:rPr>
          <w:rFonts w:ascii="Times New Roman" w:eastAsia="Times New Roman" w:hAnsi="Times New Roman" w:cs="Times New Roman"/>
          <w:lang w:val="ro-RO"/>
        </w:rPr>
        <w:t>4</w:t>
      </w:r>
      <w:r w:rsidRPr="000F57AA">
        <w:rPr>
          <w:rFonts w:ascii="Times New Roman" w:eastAsia="Times New Roman" w:hAnsi="Times New Roman" w:cs="Times New Roman"/>
          <w:lang w:val="ro-RO"/>
        </w:rPr>
        <w:t xml:space="preserve"> punctul 17 </w:t>
      </w:r>
      <w:r w:rsidR="00DC3EB5" w:rsidRPr="000F57AA">
        <w:rPr>
          <w:rFonts w:ascii="Times New Roman" w:eastAsia="Times New Roman" w:hAnsi="Times New Roman" w:cs="Times New Roman"/>
          <w:lang w:val="ro-RO"/>
        </w:rPr>
        <w:t>depășește</w:t>
      </w:r>
      <w:r w:rsidR="00785BF1" w:rsidRPr="000F57AA">
        <w:rPr>
          <w:rFonts w:ascii="Times New Roman" w:eastAsia="Times New Roman" w:hAnsi="Times New Roman" w:cs="Times New Roman"/>
          <w:lang w:val="ro-RO"/>
        </w:rPr>
        <w:t xml:space="preserve"> </w:t>
      </w:r>
      <w:r w:rsidR="001C3985" w:rsidRPr="000F57AA">
        <w:rPr>
          <w:rFonts w:ascii="Times New Roman" w:eastAsia="Times New Roman" w:hAnsi="Times New Roman" w:cs="Times New Roman"/>
          <w:lang w:val="ro-RO"/>
        </w:rPr>
        <w:t xml:space="preserve">echivalentul </w:t>
      </w:r>
      <w:r w:rsidR="00D053EC" w:rsidRPr="000F57AA">
        <w:rPr>
          <w:rFonts w:ascii="Times New Roman" w:eastAsia="Times New Roman" w:hAnsi="Times New Roman" w:cs="Times New Roman"/>
          <w:lang w:val="ro-RO"/>
        </w:rPr>
        <w:t xml:space="preserve">în lei moldovenești </w:t>
      </w:r>
      <w:r w:rsidR="001C3985" w:rsidRPr="000F57AA">
        <w:rPr>
          <w:rFonts w:ascii="Times New Roman" w:eastAsia="Times New Roman" w:hAnsi="Times New Roman" w:cs="Times New Roman"/>
          <w:lang w:val="ro-RO"/>
        </w:rPr>
        <w:t xml:space="preserve">a </w:t>
      </w:r>
      <w:r w:rsidRPr="000F57AA">
        <w:rPr>
          <w:rFonts w:ascii="Times New Roman" w:eastAsia="Times New Roman" w:hAnsi="Times New Roman" w:cs="Times New Roman"/>
          <w:lang w:val="ro-RO"/>
        </w:rPr>
        <w:t xml:space="preserve">500 de milioane EUR. </w:t>
      </w:r>
    </w:p>
    <w:p w14:paraId="7936EABE" w14:textId="084C87F5" w:rsidR="00B12C0C" w:rsidRPr="000F57AA" w:rsidRDefault="00B12C0C" w:rsidP="00B12C0C">
      <w:pPr>
        <w:pStyle w:val="ListParagraph"/>
        <w:spacing w:after="0" w:line="240" w:lineRule="auto"/>
        <w:ind w:left="0" w:firstLine="567"/>
        <w:jc w:val="both"/>
        <w:rPr>
          <w:rFonts w:ascii="Times New Roman" w:eastAsia="Times New Roman" w:hAnsi="Times New Roman" w:cs="Times New Roman"/>
          <w:lang w:val="ro-RO"/>
        </w:rPr>
      </w:pPr>
      <w:r w:rsidRPr="000F57AA">
        <w:rPr>
          <w:rFonts w:ascii="Times New Roman" w:eastAsia="Times New Roman" w:hAnsi="Times New Roman" w:cs="Times New Roman"/>
          <w:lang w:val="ro-RO"/>
        </w:rPr>
        <w:t>25.3. În cazul în care o bancă îndeplinește numai condiţia de la</w:t>
      </w:r>
      <w:r w:rsidR="00241B95"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subpct.25.1, se aplică criteriile de intrare și de ieșire prevăzute la secțiunea 2, capitolul I din prezenta Instrucțiune. În cazul în care o bancă îndeplinește atât condiţia de la subpct.</w:t>
      </w:r>
      <w:r w:rsidR="00DF27DA"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25.1, cât și condiţia de la subpct.25.2, aceasta începe să raporteze informaţiile respective pentru data de referinţă a raportării ulterioară datei de referinţă în care a depășit pragul.</w:t>
      </w:r>
    </w:p>
    <w:p w14:paraId="47A8D7ED" w14:textId="77777777" w:rsidR="00B12C0C" w:rsidRPr="000F57AA" w:rsidRDefault="00B12C0C" w:rsidP="004A1605">
      <w:pPr>
        <w:pStyle w:val="ListParagraph"/>
        <w:spacing w:after="0" w:line="240" w:lineRule="auto"/>
        <w:ind w:left="0" w:firstLine="567"/>
        <w:jc w:val="both"/>
        <w:rPr>
          <w:rFonts w:ascii="Times New Roman" w:eastAsia="Times New Roman" w:hAnsi="Times New Roman" w:cs="Times New Roman"/>
          <w:lang w:val="ro-RO"/>
        </w:rPr>
      </w:pPr>
    </w:p>
    <w:p w14:paraId="34A0E1D7" w14:textId="0D17DF4F" w:rsidR="00E9431F" w:rsidRPr="000F57AA" w:rsidRDefault="00890096" w:rsidP="00E20608">
      <w:pPr>
        <w:spacing w:after="0" w:line="240" w:lineRule="auto"/>
        <w:ind w:firstLine="567"/>
        <w:jc w:val="both"/>
        <w:rPr>
          <w:rFonts w:ascii="Times New Roman" w:eastAsia="Times New Roman" w:hAnsi="Times New Roman" w:cs="Times New Roman"/>
          <w:lang w:val="ro-RO"/>
        </w:rPr>
      </w:pPr>
      <w:r w:rsidRPr="000F57AA">
        <w:rPr>
          <w:rFonts w:ascii="Times New Roman" w:eastAsia="Times New Roman" w:hAnsi="Times New Roman" w:cs="Times New Roman"/>
          <w:b/>
          <w:bCs/>
          <w:lang w:val="ro-RO"/>
        </w:rPr>
        <w:t>1.3.</w:t>
      </w:r>
      <w:r w:rsidR="00F30272" w:rsidRPr="000F57AA">
        <w:rPr>
          <w:rFonts w:ascii="Times New Roman" w:eastAsia="Times New Roman" w:hAnsi="Times New Roman" w:cs="Times New Roman"/>
          <w:lang w:val="ro-RO"/>
        </w:rPr>
        <w:t xml:space="preserve"> </w:t>
      </w:r>
      <w:r w:rsidR="003739DF" w:rsidRPr="000F57AA">
        <w:rPr>
          <w:rFonts w:ascii="Times New Roman" w:eastAsia="Times New Roman" w:hAnsi="Times New Roman" w:cs="Times New Roman"/>
          <w:lang w:val="ro-RO"/>
        </w:rPr>
        <w:t>se abrogă anexa nr.10</w:t>
      </w:r>
      <w:r w:rsidR="003739DF" w:rsidRPr="000F57AA">
        <w:rPr>
          <w:rFonts w:ascii="Times New Roman" w:eastAsia="Times New Roman" w:hAnsi="Times New Roman" w:cs="Times New Roman"/>
          <w:vertAlign w:val="superscript"/>
          <w:lang w:val="ro-RO"/>
        </w:rPr>
        <w:t>2</w:t>
      </w:r>
      <w:r w:rsidR="003739DF" w:rsidRPr="000F57AA">
        <w:rPr>
          <w:rFonts w:ascii="Times New Roman" w:eastAsia="Times New Roman" w:hAnsi="Times New Roman" w:cs="Times New Roman"/>
          <w:lang w:val="ro-RO"/>
        </w:rPr>
        <w:t>.</w:t>
      </w:r>
    </w:p>
    <w:p w14:paraId="1B04CD99" w14:textId="3AA1A47F" w:rsidR="00E9431F" w:rsidRPr="000F57AA" w:rsidRDefault="00890096" w:rsidP="00E20608">
      <w:pPr>
        <w:spacing w:after="0" w:line="240" w:lineRule="auto"/>
        <w:ind w:firstLine="567"/>
        <w:jc w:val="both"/>
        <w:rPr>
          <w:rFonts w:ascii="Times New Roman" w:eastAsia="Times New Roman" w:hAnsi="Times New Roman" w:cs="Times New Roman"/>
          <w:lang w:val="ro-RO"/>
        </w:rPr>
      </w:pPr>
      <w:r w:rsidRPr="000F57AA">
        <w:rPr>
          <w:rFonts w:ascii="Times New Roman" w:eastAsia="Times New Roman" w:hAnsi="Times New Roman" w:cs="Times New Roman"/>
          <w:b/>
          <w:bCs/>
          <w:lang w:val="ro-RO"/>
        </w:rPr>
        <w:t>1.4.</w:t>
      </w:r>
      <w:r w:rsidR="003739DF" w:rsidRPr="000F57AA">
        <w:rPr>
          <w:rFonts w:ascii="Times New Roman" w:eastAsia="Times New Roman" w:hAnsi="Times New Roman" w:cs="Times New Roman"/>
          <w:lang w:val="ro-RO"/>
        </w:rPr>
        <w:t xml:space="preserve"> se completează cu anexa nr.14 cu următorul cuprins:</w:t>
      </w:r>
    </w:p>
    <w:p w14:paraId="025A3FD6" w14:textId="711B1BDE" w:rsidR="00584C73" w:rsidRPr="000F57AA" w:rsidRDefault="00584C73" w:rsidP="00584C73">
      <w:pPr>
        <w:spacing w:after="0"/>
        <w:jc w:val="right"/>
        <w:rPr>
          <w:rFonts w:ascii="Times New Roman" w:eastAsia="Times New Roman" w:hAnsi="Times New Roman" w:cs="Times New Roman"/>
          <w:lang w:val="ro-RO"/>
        </w:rPr>
      </w:pPr>
      <w:r w:rsidRPr="000F57AA">
        <w:rPr>
          <w:rFonts w:ascii="Times New Roman" w:eastAsia="Times New Roman" w:hAnsi="Times New Roman" w:cs="Times New Roman"/>
          <w:lang w:val="ro-RO"/>
        </w:rPr>
        <w:t>Anexa nr.</w:t>
      </w:r>
      <w:r w:rsidR="003739DF" w:rsidRPr="000F57AA">
        <w:rPr>
          <w:rFonts w:ascii="Times New Roman" w:eastAsia="Times New Roman" w:hAnsi="Times New Roman" w:cs="Times New Roman"/>
          <w:lang w:val="ro-RO"/>
        </w:rPr>
        <w:t>14</w:t>
      </w:r>
    </w:p>
    <w:p w14:paraId="5B4F975C" w14:textId="77777777" w:rsidR="00584C73" w:rsidRPr="000F57AA" w:rsidRDefault="00584C73" w:rsidP="00584C73">
      <w:pPr>
        <w:spacing w:after="0"/>
        <w:jc w:val="right"/>
        <w:rPr>
          <w:rFonts w:ascii="Times New Roman" w:eastAsia="Times New Roman" w:hAnsi="Times New Roman" w:cs="Times New Roman"/>
          <w:lang w:val="ro-RO"/>
        </w:rPr>
      </w:pPr>
      <w:r w:rsidRPr="000F57AA">
        <w:rPr>
          <w:rFonts w:ascii="Times New Roman" w:eastAsia="Times New Roman" w:hAnsi="Times New Roman" w:cs="Times New Roman"/>
          <w:lang w:val="ro-RO"/>
        </w:rPr>
        <w:t>la Instrucţiunea cu privire la prezentarea</w:t>
      </w:r>
    </w:p>
    <w:p w14:paraId="176E7B1E" w14:textId="77777777" w:rsidR="00584C73" w:rsidRPr="000F57AA" w:rsidRDefault="00584C73" w:rsidP="00584C73">
      <w:pPr>
        <w:spacing w:after="0"/>
        <w:jc w:val="right"/>
        <w:rPr>
          <w:rFonts w:ascii="Times New Roman" w:eastAsia="Times New Roman" w:hAnsi="Times New Roman" w:cs="Times New Roman"/>
          <w:lang w:val="ro-RO"/>
        </w:rPr>
      </w:pPr>
      <w:r w:rsidRPr="000F57AA">
        <w:rPr>
          <w:rFonts w:ascii="Times New Roman" w:eastAsia="Times New Roman" w:hAnsi="Times New Roman" w:cs="Times New Roman"/>
          <w:lang w:val="ro-RO"/>
        </w:rPr>
        <w:t>de către bănci a rapoartelor COREP</w:t>
      </w:r>
    </w:p>
    <w:p w14:paraId="18522D19" w14:textId="77777777" w:rsidR="00584C73" w:rsidRPr="000F57AA" w:rsidRDefault="00584C73" w:rsidP="00584C73">
      <w:pPr>
        <w:spacing w:after="0"/>
        <w:jc w:val="right"/>
        <w:rPr>
          <w:rFonts w:ascii="Times New Roman" w:eastAsia="Times New Roman" w:hAnsi="Times New Roman" w:cs="Times New Roman"/>
          <w:lang w:val="ro-RO"/>
        </w:rPr>
      </w:pPr>
      <w:r w:rsidRPr="000F57AA">
        <w:rPr>
          <w:rFonts w:ascii="Times New Roman" w:eastAsia="Times New Roman" w:hAnsi="Times New Roman" w:cs="Times New Roman"/>
          <w:lang w:val="ro-RO"/>
        </w:rPr>
        <w:t>în scopuri de supraveghere</w:t>
      </w:r>
    </w:p>
    <w:p w14:paraId="2E52B3B1" w14:textId="77777777" w:rsidR="00584C73" w:rsidRPr="000F57AA" w:rsidRDefault="00584C73" w:rsidP="00584C73">
      <w:pPr>
        <w:rPr>
          <w:rFonts w:ascii="Times New Roman" w:eastAsia="Times New Roman" w:hAnsi="Times New Roman" w:cs="Times New Roman"/>
          <w:b/>
          <w:bCs/>
          <w:lang w:val="ro-RO"/>
        </w:rPr>
      </w:pPr>
    </w:p>
    <w:p w14:paraId="3D78BC34" w14:textId="35C451DC" w:rsidR="00584C73" w:rsidRPr="000F57AA" w:rsidRDefault="00584C73" w:rsidP="00584C73">
      <w:pPr>
        <w:jc w:val="center"/>
        <w:rPr>
          <w:rFonts w:ascii="Times New Roman" w:eastAsia="Times New Roman" w:hAnsi="Times New Roman" w:cs="Times New Roman"/>
          <w:lang w:val="ro-RO"/>
        </w:rPr>
      </w:pPr>
      <w:r w:rsidRPr="000F57AA">
        <w:rPr>
          <w:rFonts w:ascii="Times New Roman" w:eastAsia="Times New Roman" w:hAnsi="Times New Roman" w:cs="Times New Roman"/>
          <w:b/>
          <w:bCs/>
          <w:lang w:val="ro-RO"/>
        </w:rPr>
        <w:t>RAPORTAREA PRIVIND EFECTUL DE LEVIER</w:t>
      </w:r>
    </w:p>
    <w:p w14:paraId="3E6FFA96" w14:textId="1DA58EBA" w:rsidR="00584C73" w:rsidRPr="000F57AA" w:rsidRDefault="00E9431F" w:rsidP="00584C73">
      <w:pPr>
        <w:spacing w:after="0"/>
        <w:jc w:val="center"/>
        <w:rPr>
          <w:rFonts w:ascii="Times New Roman" w:eastAsia="Times New Roman" w:hAnsi="Times New Roman" w:cs="Times New Roman"/>
          <w:b/>
          <w:bCs/>
          <w:lang w:val="ro-RO"/>
        </w:rPr>
      </w:pPr>
      <w:r w:rsidRPr="000F57AA">
        <w:rPr>
          <w:rFonts w:ascii="Times New Roman" w:eastAsia="Times New Roman" w:hAnsi="Times New Roman" w:cs="Times New Roman"/>
          <w:lang w:val="ro-RO"/>
        </w:rPr>
        <w:br w:type="page"/>
      </w:r>
      <w:r w:rsidR="00584C73" w:rsidRPr="000F57AA">
        <w:rPr>
          <w:rFonts w:ascii="Times New Roman" w:eastAsia="Times New Roman" w:hAnsi="Times New Roman" w:cs="Times New Roman"/>
          <w:b/>
          <w:bCs/>
          <w:lang w:val="ro-RO"/>
        </w:rPr>
        <w:lastRenderedPageBreak/>
        <w:t>Capitolul I. INSTRUCŢIUNI GENERALE</w:t>
      </w:r>
    </w:p>
    <w:p w14:paraId="68ED1D90" w14:textId="736126B8" w:rsidR="00584C73" w:rsidRPr="000F57AA" w:rsidRDefault="00584C73" w:rsidP="00584C73">
      <w:pPr>
        <w:spacing w:after="0"/>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Secțiunea 1. Structură și alte convenţii</w:t>
      </w:r>
    </w:p>
    <w:p w14:paraId="6B940BAE" w14:textId="7117670A" w:rsidR="00584C73" w:rsidRPr="000F57AA" w:rsidRDefault="00584C73" w:rsidP="00584C73">
      <w:pPr>
        <w:spacing w:after="0"/>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Subsecțiunea 1. Structură</w:t>
      </w:r>
    </w:p>
    <w:p w14:paraId="22502DEA" w14:textId="29910168" w:rsidR="00E9431F" w:rsidRPr="000F57AA" w:rsidRDefault="00584C73"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 Prezenta anexă conţine instrucţiuni suplimentare privind formularele aferente raportării privind efectul de levier (denumite în continuare „LR”).</w:t>
      </w:r>
    </w:p>
    <w:p w14:paraId="3562CD0F"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2. În total, cadrul este constituit din cinci formulare: </w:t>
      </w:r>
    </w:p>
    <w:p w14:paraId="2A61760B" w14:textId="21AA6149"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47.00: Calculul indicatorului efectului de levier (LRCalc): Calculul indicatorului efectului de levier; </w:t>
      </w:r>
    </w:p>
    <w:p w14:paraId="77FA434F" w14:textId="44B40372"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40.00: Indicatorul efectului de levier – Formularul 1 (LR1): Tratamentul alternativ al indicatorului de măsurare a expunerii; </w:t>
      </w:r>
    </w:p>
    <w:p w14:paraId="56F51A32" w14:textId="56BC4B9A"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43.00: Indicatorul efectului de levier – Formularul 4 (LR4): Defalcarea alternativă a componentelor indicatorului de măsurare a expunerii utilizat pentru calcularea indicatorului efectului de levier; </w:t>
      </w:r>
    </w:p>
    <w:p w14:paraId="13FACA9B" w14:textId="3D7E16B0"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44.00: Indicatorul efectului de levier – Formularul 5 (LR5): Informaţii generale; </w:t>
      </w:r>
    </w:p>
    <w:p w14:paraId="4E000B87" w14:textId="0CB8CF93"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48.00: Volatilitatea indicatorului efectului de levier (LR6).</w:t>
      </w:r>
    </w:p>
    <w:p w14:paraId="546003F9" w14:textId="02853CE1"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 Pentru fiecare formular sunt furnizate referinţe juridice, precum și informaţii suplimentare detaliate cu privire la aspectele mai generale ale raportării.</w:t>
      </w:r>
    </w:p>
    <w:p w14:paraId="062E4193" w14:textId="77777777" w:rsidR="00B81DC1" w:rsidRPr="000F57AA" w:rsidRDefault="00B81DC1" w:rsidP="00B81DC1">
      <w:pPr>
        <w:spacing w:after="0"/>
        <w:ind w:firstLine="708"/>
        <w:rPr>
          <w:rFonts w:ascii="Times New Roman" w:eastAsia="Times New Roman" w:hAnsi="Times New Roman" w:cs="Times New Roman"/>
          <w:b/>
          <w:bCs/>
          <w:lang w:val="ro-RO"/>
        </w:rPr>
      </w:pPr>
    </w:p>
    <w:p w14:paraId="26F65E13" w14:textId="379655C8" w:rsidR="00B81DC1" w:rsidRPr="000F57AA" w:rsidRDefault="00B81DC1" w:rsidP="00B81DC1">
      <w:pPr>
        <w:spacing w:after="0"/>
        <w:ind w:firstLine="708"/>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Subsecțiunea</w:t>
      </w:r>
      <w:r w:rsidRPr="000F57AA" w:rsidDel="003D5480">
        <w:rPr>
          <w:rFonts w:ascii="Times New Roman" w:eastAsia="Times New Roman" w:hAnsi="Times New Roman" w:cs="Times New Roman"/>
          <w:b/>
          <w:bCs/>
          <w:i/>
          <w:iCs/>
          <w:lang w:val="ro-RO"/>
        </w:rPr>
        <w:t xml:space="preserve"> </w:t>
      </w:r>
      <w:r w:rsidRPr="000F57AA">
        <w:rPr>
          <w:rFonts w:ascii="Times New Roman" w:eastAsia="Times New Roman" w:hAnsi="Times New Roman" w:cs="Times New Roman"/>
          <w:b/>
          <w:bCs/>
          <w:i/>
          <w:iCs/>
          <w:lang w:val="ro-RO"/>
        </w:rPr>
        <w:t>2. Convenţia de numerotare</w:t>
      </w:r>
    </w:p>
    <w:p w14:paraId="05D69FF4" w14:textId="5483C75B"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4. În ceea ce privește referinţele la coloanele, rândurile și celulele formularelor, documentul respectă convenţia stabilită în următoarele puncte. Aceste coduri numerice sunt utilizate pe scară largă în normele de validare.</w:t>
      </w:r>
    </w:p>
    <w:p w14:paraId="5FEC1498" w14:textId="7EBDF255"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5. În instrucţiuni se utilizează următoarea notaţie generală: {Formular;Rând;Coloană}. Pentru a indica faptul că se face trimitere la întregul rând sau întreaga coloană</w:t>
      </w:r>
      <w:r w:rsidR="006F1953" w:rsidRPr="000F57AA">
        <w:rPr>
          <w:rFonts w:ascii="Times New Roman" w:eastAsia="Times New Roman" w:hAnsi="Times New Roman" w:cs="Times New Roman"/>
          <w:lang w:val="ro-RO"/>
        </w:rPr>
        <w:t>,</w:t>
      </w:r>
      <w:r w:rsidRPr="000F57AA">
        <w:rPr>
          <w:rFonts w:ascii="Times New Roman" w:eastAsia="Times New Roman" w:hAnsi="Times New Roman" w:cs="Times New Roman"/>
          <w:lang w:val="ro-RO"/>
        </w:rPr>
        <w:t xml:space="preserve"> se va utiliza un asterisc.</w:t>
      </w:r>
    </w:p>
    <w:p w14:paraId="59B154D8" w14:textId="31347ED5"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6. În cazul validărilor din cadrul unui formular în care sunt utilizate numai punctele de date din formularul respectiv, notaţiile nu se vor referi la un formular: {Rând;Coloană}.</w:t>
      </w:r>
    </w:p>
    <w:p w14:paraId="42B77056" w14:textId="43A9F1F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7. În raportarea privind efectul de levier, „din care” se referă la un element care constituie un subset al unei categorii de expuneri de nivel mai ridicat, în timp ce „element memorandum” se referă la un element separat care nu este un subset al unei clase de expuneri. Este obligatoriu să se completeze ambele tipuri de celule, dacă nu se specifică altfel.</w:t>
      </w:r>
    </w:p>
    <w:p w14:paraId="4CD18A27" w14:textId="77777777" w:rsidR="00B81DC1" w:rsidRPr="000F57AA" w:rsidRDefault="00B81DC1" w:rsidP="00B81DC1">
      <w:pPr>
        <w:spacing w:after="0"/>
        <w:ind w:firstLine="708"/>
        <w:rPr>
          <w:rFonts w:ascii="Times New Roman" w:eastAsia="Times New Roman" w:hAnsi="Times New Roman" w:cs="Times New Roman"/>
          <w:b/>
          <w:bCs/>
          <w:lang w:val="ro-RO"/>
        </w:rPr>
      </w:pPr>
    </w:p>
    <w:p w14:paraId="42FB30B2" w14:textId="40C91FE2" w:rsidR="00B81DC1" w:rsidRPr="000F57AA" w:rsidRDefault="00B81DC1" w:rsidP="009C100C">
      <w:pPr>
        <w:spacing w:after="0"/>
        <w:ind w:firstLine="708"/>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Subsecțiunea</w:t>
      </w:r>
      <w:r w:rsidRPr="000F57AA" w:rsidDel="003D5480">
        <w:rPr>
          <w:rFonts w:ascii="Times New Roman" w:eastAsia="Times New Roman" w:hAnsi="Times New Roman" w:cs="Times New Roman"/>
          <w:b/>
          <w:bCs/>
          <w:i/>
          <w:iCs/>
          <w:lang w:val="ro-RO"/>
        </w:rPr>
        <w:t xml:space="preserve"> </w:t>
      </w:r>
      <w:r w:rsidRPr="000F57AA">
        <w:rPr>
          <w:rFonts w:ascii="Times New Roman" w:eastAsia="Times New Roman" w:hAnsi="Times New Roman" w:cs="Times New Roman"/>
          <w:b/>
          <w:bCs/>
          <w:i/>
          <w:iCs/>
          <w:lang w:val="ro-RO"/>
        </w:rPr>
        <w:t>3. Abrevieri</w:t>
      </w:r>
    </w:p>
    <w:p w14:paraId="3987F9CD"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8. În sensul prezentei anexe și al formularelor aferente se utilizează următoarele abrevieri: </w:t>
      </w:r>
    </w:p>
    <w:p w14:paraId="45EB8859" w14:textId="7AA92D71"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8.1. Legea nr.202/2017, care este abrevierea Legii </w:t>
      </w:r>
      <w:r w:rsidR="00384192" w:rsidRPr="000F57AA">
        <w:rPr>
          <w:rFonts w:ascii="Times New Roman" w:eastAsia="Times New Roman" w:hAnsi="Times New Roman" w:cs="Times New Roman"/>
          <w:lang w:val="ro-RO"/>
        </w:rPr>
        <w:t xml:space="preserve">nr.202/2017 </w:t>
      </w:r>
      <w:r w:rsidRPr="000F57AA">
        <w:rPr>
          <w:rFonts w:ascii="Times New Roman" w:eastAsia="Times New Roman" w:hAnsi="Times New Roman" w:cs="Times New Roman"/>
          <w:lang w:val="ro-RO"/>
        </w:rPr>
        <w:t>privind activitatea băncilor;</w:t>
      </w:r>
    </w:p>
    <w:p w14:paraId="77DA9D0A"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8.2. Regulamentul nr.109/2018 care este abrevierea Regulamentului cu privire la fondurile proprii ale băncilor şi cerinţele de capital, aprobat prin HCE al BNM nr.109/2018;</w:t>
      </w:r>
    </w:p>
    <w:p w14:paraId="18C77941"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8.3. Regulamentul nr.111/2018 care este abrevierea Regulamentului cu privire la tratamentul riscului de credit pentru bănci potrivit abordării standardizate, aprobat prin HCE al BNM nr.111/2018;</w:t>
      </w:r>
    </w:p>
    <w:p w14:paraId="37836664"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8.4. Regulamentul nr.112/2018 care este abrevierea Regulamentului cu privire la tehnicile de diminuare a riscului de credit utilizate de bănci, aprobat prin HCE al BNM nr.112/2018;</w:t>
      </w:r>
    </w:p>
    <w:p w14:paraId="46FBD183"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8.5. Regulamentul nr.114/2018 care este abrevierea Regulamentului cu privire la tratamentul riscului de piaţă potrivit abordării standardizate, aprobat prin HCE al BNM nr.114/2018;</w:t>
      </w:r>
    </w:p>
    <w:p w14:paraId="45A1577F" w14:textId="5560775F"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8.6. Regulamentul nr.</w:t>
      </w:r>
      <w:r w:rsidR="00FD21D1" w:rsidRPr="000F57AA">
        <w:rPr>
          <w:rFonts w:ascii="Times New Roman" w:eastAsia="Times New Roman" w:hAnsi="Times New Roman" w:cs="Times New Roman"/>
          <w:lang w:val="ro-RO"/>
        </w:rPr>
        <w:t>YY</w:t>
      </w:r>
      <w:r w:rsidRPr="000F57AA">
        <w:rPr>
          <w:rFonts w:ascii="Times New Roman" w:eastAsia="Times New Roman" w:hAnsi="Times New Roman" w:cs="Times New Roman"/>
          <w:lang w:val="ro-RO"/>
        </w:rPr>
        <w:t>/2025 care este abrevierea Regulamentului cu privire la tratamentul riscului de credit al contrapărţii pentru bănci, aprobat prin HCE al BNM nr.</w:t>
      </w:r>
      <w:r w:rsidR="00FD21D1" w:rsidRPr="000F57AA">
        <w:rPr>
          <w:rFonts w:ascii="Times New Roman" w:eastAsia="Times New Roman" w:hAnsi="Times New Roman" w:cs="Times New Roman"/>
          <w:lang w:val="ro-RO"/>
        </w:rPr>
        <w:t>YY</w:t>
      </w:r>
      <w:r w:rsidRPr="000F57AA">
        <w:rPr>
          <w:rFonts w:ascii="Times New Roman" w:eastAsia="Times New Roman" w:hAnsi="Times New Roman" w:cs="Times New Roman"/>
          <w:lang w:val="ro-RO"/>
        </w:rPr>
        <w:t>/2025;</w:t>
      </w:r>
    </w:p>
    <w:p w14:paraId="59A672DC" w14:textId="3D1AEF22"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8.7. SFT</w:t>
      </w:r>
      <w:r w:rsidR="004361AA" w:rsidRPr="000F57AA">
        <w:rPr>
          <w:rFonts w:ascii="Times New Roman" w:eastAsia="Times New Roman" w:hAnsi="Times New Roman" w:cs="Times New Roman"/>
          <w:lang w:val="ro-RO"/>
        </w:rPr>
        <w:t xml:space="preserve">, </w:t>
      </w:r>
      <w:r w:rsidR="004361AA" w:rsidRPr="000F57AA">
        <w:rPr>
          <w:lang w:val="ro-RO"/>
        </w:rPr>
        <w:t xml:space="preserve"> </w:t>
      </w:r>
      <w:r w:rsidR="004361AA" w:rsidRPr="000F57AA">
        <w:rPr>
          <w:rFonts w:ascii="Times New Roman" w:eastAsia="Times New Roman" w:hAnsi="Times New Roman" w:cs="Times New Roman"/>
          <w:lang w:val="ro-RO"/>
        </w:rPr>
        <w:t xml:space="preserve">care este abrevierea operațiunii </w:t>
      </w:r>
      <w:r w:rsidRPr="000F57AA">
        <w:rPr>
          <w:rFonts w:ascii="Times New Roman" w:eastAsia="Times New Roman" w:hAnsi="Times New Roman" w:cs="Times New Roman"/>
          <w:lang w:val="ro-RO"/>
        </w:rPr>
        <w:t xml:space="preserve">de finanţare prin instrumente financiare (Securities Financing Transaction) și înseamnă „o tranzacţie de răscumpărare, o tranzacţie de dare sau luare cu împrumut de titluri de valoare sau mărfuri sau o tranzacţie de creditare în marjă”, astfel cum se menţionează la subpct.5.3 din Regulamentul XX/2025; </w:t>
      </w:r>
    </w:p>
    <w:p w14:paraId="619145F3" w14:textId="02FF189A"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8.8. CRM</w:t>
      </w:r>
      <w:r w:rsidR="004361AA" w:rsidRPr="000F57AA">
        <w:rPr>
          <w:rFonts w:ascii="Times New Roman" w:eastAsia="Times New Roman" w:hAnsi="Times New Roman" w:cs="Times New Roman"/>
          <w:lang w:val="ro-RO"/>
        </w:rPr>
        <w:t>, care este abrevierea diminuării</w:t>
      </w:r>
      <w:r w:rsidR="000220AD"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riscului de credit (Credit Risk Mitigation), definită astfel în Regulamentul nr.112/2018; </w:t>
      </w:r>
    </w:p>
    <w:p w14:paraId="1D3567ED" w14:textId="62FE00CA"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8.9. CSD</w:t>
      </w:r>
      <w:r w:rsidR="004361AA" w:rsidRPr="000F57AA">
        <w:rPr>
          <w:rFonts w:ascii="Times New Roman" w:eastAsia="Times New Roman" w:hAnsi="Times New Roman" w:cs="Times New Roman"/>
          <w:lang w:val="ro-RO"/>
        </w:rPr>
        <w:t>,</w:t>
      </w:r>
      <w:r w:rsidR="004361AA" w:rsidRPr="000F57AA">
        <w:rPr>
          <w:lang w:val="ro-RO"/>
        </w:rPr>
        <w:t xml:space="preserve"> </w:t>
      </w:r>
      <w:r w:rsidR="004361AA" w:rsidRPr="000F57AA">
        <w:rPr>
          <w:rFonts w:ascii="Times New Roman" w:eastAsia="Times New Roman" w:hAnsi="Times New Roman" w:cs="Times New Roman"/>
          <w:lang w:val="ro-RO"/>
        </w:rPr>
        <w:t xml:space="preserve">care este abrevierea </w:t>
      </w:r>
      <w:r w:rsidRPr="000F57AA">
        <w:rPr>
          <w:rFonts w:ascii="Times New Roman" w:eastAsia="Times New Roman" w:hAnsi="Times New Roman" w:cs="Times New Roman"/>
          <w:lang w:val="ro-RO"/>
        </w:rPr>
        <w:t>depozitarul</w:t>
      </w:r>
      <w:r w:rsidR="004361AA" w:rsidRPr="000F57AA">
        <w:rPr>
          <w:rFonts w:ascii="Times New Roman" w:eastAsia="Times New Roman" w:hAnsi="Times New Roman" w:cs="Times New Roman"/>
          <w:lang w:val="ro-RO"/>
        </w:rPr>
        <w:t>ui</w:t>
      </w:r>
      <w:r w:rsidR="00E84447"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central de titluri de valoare (Central Securities Depository), adică Depozitarul central unic al valorilor mobiliare definit în Legea nr.234/2016 cu privire la Depozitarul central unic al valorilor mobiliare; </w:t>
      </w:r>
    </w:p>
    <w:p w14:paraId="24E0B11D" w14:textId="343D483A"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lastRenderedPageBreak/>
        <w:t>8.10. CPCC</w:t>
      </w:r>
      <w:r w:rsidR="009921F8" w:rsidRPr="000F57AA">
        <w:rPr>
          <w:rFonts w:ascii="Times New Roman" w:eastAsia="Times New Roman" w:hAnsi="Times New Roman" w:cs="Times New Roman"/>
          <w:lang w:val="ro-RO"/>
        </w:rPr>
        <w:t xml:space="preserve">, care este abrevierea contrapărţii centrale calificate </w:t>
      </w:r>
      <w:r w:rsidRPr="000F57AA">
        <w:rPr>
          <w:rFonts w:ascii="Times New Roman" w:eastAsia="Times New Roman" w:hAnsi="Times New Roman" w:cs="Times New Roman"/>
          <w:lang w:val="ro-RO"/>
        </w:rPr>
        <w:t xml:space="preserve">(Qualifying Central Counterparty); </w:t>
      </w:r>
    </w:p>
    <w:p w14:paraId="3CDB2835" w14:textId="0F179830"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8.11. PFE</w:t>
      </w:r>
      <w:r w:rsidR="009921F8" w:rsidRPr="000F57AA">
        <w:rPr>
          <w:rFonts w:ascii="Times New Roman" w:eastAsia="Times New Roman" w:hAnsi="Times New Roman" w:cs="Times New Roman"/>
          <w:lang w:val="ro-RO"/>
        </w:rPr>
        <w:t xml:space="preserve">, care este abrevierea expunerii viitoare potenţiale </w:t>
      </w:r>
      <w:r w:rsidRPr="000F57AA">
        <w:rPr>
          <w:rFonts w:ascii="Times New Roman" w:eastAsia="Times New Roman" w:hAnsi="Times New Roman" w:cs="Times New Roman"/>
          <w:lang w:val="ro-RO"/>
        </w:rPr>
        <w:t>(Potential Future Exposure).</w:t>
      </w:r>
    </w:p>
    <w:p w14:paraId="3B388664" w14:textId="77777777" w:rsidR="00B81DC1" w:rsidRPr="000F57AA" w:rsidRDefault="00B81DC1" w:rsidP="00B81DC1">
      <w:pPr>
        <w:spacing w:after="0"/>
        <w:ind w:firstLine="708"/>
        <w:rPr>
          <w:rFonts w:ascii="Times New Roman" w:eastAsia="Times New Roman" w:hAnsi="Times New Roman" w:cs="Times New Roman"/>
          <w:b/>
          <w:bCs/>
          <w:lang w:val="ro-RO"/>
        </w:rPr>
      </w:pPr>
    </w:p>
    <w:p w14:paraId="19716129" w14:textId="7896BFBE" w:rsidR="00B81DC1" w:rsidRPr="000F57AA" w:rsidRDefault="00B81DC1" w:rsidP="00637432">
      <w:pPr>
        <w:spacing w:after="0"/>
        <w:ind w:firstLine="708"/>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Subsecțiunea</w:t>
      </w:r>
      <w:r w:rsidRPr="000F57AA" w:rsidDel="00C72C18">
        <w:rPr>
          <w:rFonts w:ascii="Times New Roman" w:eastAsia="Times New Roman" w:hAnsi="Times New Roman" w:cs="Times New Roman"/>
          <w:b/>
          <w:bCs/>
          <w:i/>
          <w:iCs/>
          <w:lang w:val="ro-RO"/>
        </w:rPr>
        <w:t xml:space="preserve"> </w:t>
      </w:r>
      <w:r w:rsidRPr="000F57AA">
        <w:rPr>
          <w:rFonts w:ascii="Times New Roman" w:eastAsia="Times New Roman" w:hAnsi="Times New Roman" w:cs="Times New Roman"/>
          <w:b/>
          <w:bCs/>
          <w:i/>
          <w:iCs/>
          <w:lang w:val="ro-RO"/>
        </w:rPr>
        <w:t>4. Convenţia privind semnul</w:t>
      </w:r>
    </w:p>
    <w:p w14:paraId="2DA9149F"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9. Toate cuantumurile se raportează ca valori pozitive. Fac excepţie: </w:t>
      </w:r>
    </w:p>
    <w:p w14:paraId="4A88F07A"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9.1. Elementele a căror denumire este precedată de un semn negativ (-), în cazul cărora se presupune că nu se va raporta nicio valoare pozitivă. </w:t>
      </w:r>
    </w:p>
    <w:p w14:paraId="027E5490" w14:textId="77777777" w:rsidR="00B81DC1" w:rsidRPr="000F57AA" w:rsidRDefault="00B81DC1"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9.2. {LRCalc;0310;0010}, {LRCalc;0320;0010}, {LRCalc;0330;0010}, {LRCalc;0340;0010}, care în mod normal conţin valori pozitive, dar care, în anumite cazuri extreme, ar putea conţine valori negative.</w:t>
      </w:r>
    </w:p>
    <w:p w14:paraId="7B0014BE" w14:textId="77777777" w:rsidR="009C100C" w:rsidRPr="000F57AA" w:rsidRDefault="009C100C" w:rsidP="00B81DC1">
      <w:pPr>
        <w:spacing w:after="0"/>
        <w:ind w:firstLine="708"/>
        <w:rPr>
          <w:rFonts w:ascii="Times New Roman" w:eastAsia="Times New Roman" w:hAnsi="Times New Roman" w:cs="Times New Roman"/>
          <w:lang w:val="ro-RO"/>
        </w:rPr>
      </w:pPr>
    </w:p>
    <w:p w14:paraId="4E369719" w14:textId="5F6D3110" w:rsidR="009C100C" w:rsidRPr="000F57AA" w:rsidRDefault="009C100C" w:rsidP="009C100C">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Capitolul  II: INSTRUCŢIUNI AFERENTE FORMULARELOR</w:t>
      </w:r>
    </w:p>
    <w:p w14:paraId="42BC7395" w14:textId="36F3C494" w:rsidR="009C100C" w:rsidRPr="000F57AA" w:rsidRDefault="009C100C" w:rsidP="009C100C">
      <w:pPr>
        <w:spacing w:after="0"/>
        <w:ind w:firstLine="708"/>
        <w:jc w:val="center"/>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Secțiunea 1. Formule pentru calculul indicatorului efectului de levier</w:t>
      </w:r>
    </w:p>
    <w:p w14:paraId="2B837357" w14:textId="49FE2C3C" w:rsidR="009C100C" w:rsidRPr="000F57AA" w:rsidRDefault="009C100C" w:rsidP="009C100C">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10. Indicatorul efectului de levier se bazează pe un indicator de măsurare a capitalului și pe un indicator de măsurare a expunerii totale, care pot fi calculaţi cu ajutorul celulelor din LRCalc.</w:t>
      </w:r>
    </w:p>
    <w:p w14:paraId="096F99F1" w14:textId="6150914B" w:rsidR="00B81DC1" w:rsidRPr="000F57AA" w:rsidRDefault="00637432" w:rsidP="00B81DC1">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11. Indicatorul efectului de levier = {LRCalc;0310;0010}/{LRCalc;0290;0010}.</w:t>
      </w:r>
    </w:p>
    <w:p w14:paraId="36D843A9" w14:textId="77777777" w:rsidR="00637432" w:rsidRPr="000F57AA" w:rsidRDefault="00637432" w:rsidP="00637432">
      <w:pPr>
        <w:spacing w:after="0"/>
        <w:ind w:firstLine="708"/>
        <w:rPr>
          <w:rFonts w:ascii="Times New Roman" w:eastAsia="Times New Roman" w:hAnsi="Times New Roman" w:cs="Times New Roman"/>
          <w:b/>
          <w:bCs/>
          <w:lang w:val="ro-RO"/>
        </w:rPr>
      </w:pPr>
    </w:p>
    <w:p w14:paraId="481111E6" w14:textId="75CF901B" w:rsidR="00637432" w:rsidRPr="000F57AA" w:rsidRDefault="00637432" w:rsidP="00637432">
      <w:pPr>
        <w:spacing w:after="0"/>
        <w:ind w:firstLine="708"/>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 xml:space="preserve">Secțiunea 2. Praguri de semnificaţie pentru instrumentele financiare derivate </w:t>
      </w:r>
    </w:p>
    <w:p w14:paraId="31BF15FC" w14:textId="51E8716E" w:rsidR="00B81DC1" w:rsidRPr="000F57AA" w:rsidRDefault="00637432"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12. Pentru a reduce sarcina de raportare a băncilor cu expuneri limitate pe instrumente financiare derivate, la evaluarea importanţei relative a expunerilor pe instrumente financiare derivate faţă de expunerea totală corespunzătoare indicatorului efectului de levier se utilizează următorii indicatori de măsurare. Băncile calculează acești indicatori de măsurare după cum urmează:</w:t>
      </w:r>
    </w:p>
    <w:p w14:paraId="7B0A070F" w14:textId="58F2AB14" w:rsidR="00961DD6" w:rsidRPr="000F57AA" w:rsidRDefault="00637432"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13.</w:t>
      </w:r>
      <w:r w:rsidRPr="000F57AA">
        <w:rPr>
          <w:noProof/>
          <w:color w:val="000000"/>
          <w:lang w:val="ro-RO"/>
        </w:rPr>
        <w:t xml:space="preserve"> </w:t>
      </w:r>
      <w:r w:rsidR="00E22390" w:rsidRPr="000F57AA">
        <w:rPr>
          <w:noProof/>
          <w:color w:val="000000"/>
          <w:lang w:val="ro-RO"/>
        </w:rPr>
        <w:t xml:space="preserve"> </w:t>
      </w:r>
      <w:r w:rsidR="00961DD6" w:rsidRPr="000F57AA">
        <w:rPr>
          <w:rFonts w:ascii="Times New Roman" w:eastAsia="Times New Roman" w:hAnsi="Times New Roman" w:cs="Times New Roman"/>
          <w:i/>
          <w:iCs/>
          <w:lang w:val="ro-RO"/>
        </w:rPr>
        <w:t>Cota instrumentelor financiare derivate =</w:t>
      </w:r>
      <w:r w:rsidR="00961DD6" w:rsidRPr="000F57AA">
        <w:rPr>
          <w:i/>
          <w:iCs/>
          <w:lang w:val="ro-RO"/>
        </w:rPr>
        <w:t xml:space="preserve"> </w:t>
      </w:r>
      <w:r w:rsidR="00961DD6" w:rsidRPr="000F57AA">
        <w:rPr>
          <w:rFonts w:ascii="Times New Roman" w:eastAsia="Times New Roman" w:hAnsi="Times New Roman" w:cs="Times New Roman"/>
          <w:i/>
          <w:iCs/>
          <w:lang w:val="ro-RO"/>
        </w:rPr>
        <w:t>Expuner</w:t>
      </w:r>
      <w:r w:rsidR="009559D0" w:rsidRPr="000F57AA">
        <w:rPr>
          <w:rFonts w:ascii="Times New Roman" w:eastAsia="Times New Roman" w:hAnsi="Times New Roman" w:cs="Times New Roman"/>
          <w:i/>
          <w:iCs/>
          <w:lang w:val="ro-RO"/>
        </w:rPr>
        <w:t>ea</w:t>
      </w:r>
      <w:r w:rsidR="00961DD6" w:rsidRPr="000F57AA">
        <w:rPr>
          <w:rFonts w:ascii="Times New Roman" w:eastAsia="Times New Roman" w:hAnsi="Times New Roman" w:cs="Times New Roman"/>
          <w:i/>
          <w:iCs/>
          <w:lang w:val="ro-RO"/>
        </w:rPr>
        <w:t xml:space="preserve"> pe instrumente financiare derivate / Expunerea totală</w:t>
      </w:r>
    </w:p>
    <w:p w14:paraId="085D18D0" w14:textId="7B4816D0" w:rsidR="00B65ABB" w:rsidRPr="000F57AA" w:rsidRDefault="00637432"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14. În care indicatorul de măsurare a expunerii din instrumente financiare derivate este egal cu: {LRCalc;0061;0010}+{LRCalc;0065;0010}+ {LRCalc;0071;0010}+{LRCalc;0081;001 0}+{LRCalc;0091;0010}+{LRCalc;0092;0010}+{LRCalc;0093;0010}+{LRCalc;0101;0010}+ {LRCalc;0102;0010}+{LRCalc;0103;0010}+{LRCalc; 0104;0010}</w:t>
      </w:r>
      <w:r w:rsidR="0004614D"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+{LRCalc;0110;0010}</w:t>
      </w:r>
      <w:r w:rsidR="0004614D"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+{LRCalc;0120;0010}+{LRCalc ;0130;0010}+{LRCalc;0140;0010}</w:t>
      </w:r>
    </w:p>
    <w:p w14:paraId="432ED54C" w14:textId="4020A2A0" w:rsidR="0004614D" w:rsidRPr="000F57AA" w:rsidRDefault="0004614D"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15. În care indicatorul de măsurare a expunerii totale este egal cu: {LRCalc;0290;0010}.</w:t>
      </w:r>
    </w:p>
    <w:p w14:paraId="2DE4C194" w14:textId="4AEA677A" w:rsidR="0004614D" w:rsidRPr="000F57AA" w:rsidRDefault="0004614D"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16. Cuantumul noţional total folosit ca referinţă de instrumentele financiare derivate = {LR1; 0010;0070}. Băncile completează întotdeauna această celulă.</w:t>
      </w:r>
    </w:p>
    <w:p w14:paraId="0D32D782" w14:textId="64590703" w:rsidR="0004614D" w:rsidRPr="000F57AA" w:rsidRDefault="0004614D" w:rsidP="0063743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17. Volumul instrumentelor financiare derivate de credit = {LR1;0020;0070} + {LR1;0050;0070}. Băncile completează întotdeauna aceste celule.</w:t>
      </w:r>
    </w:p>
    <w:p w14:paraId="3487DB24" w14:textId="77777777" w:rsidR="0004614D" w:rsidRPr="000F57AA" w:rsidRDefault="0004614D" w:rsidP="0004614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18. Băncile au obligaţia de a completa celulele menţionate la punctul 21 dacă este îndeplinită oricare dintre următoarele condiţii: </w:t>
      </w:r>
    </w:p>
    <w:p w14:paraId="5AEECD9E" w14:textId="7492308C" w:rsidR="0004614D" w:rsidRPr="000F57AA" w:rsidRDefault="0004614D" w:rsidP="0004614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18.1. cota instrumentelor financiare derivate, menţionată la punctul 13, depășește 1,5 %; </w:t>
      </w:r>
    </w:p>
    <w:p w14:paraId="778E98C6" w14:textId="7ADC4094" w:rsidR="0004614D" w:rsidRPr="000F57AA" w:rsidRDefault="0004614D" w:rsidP="0004614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18.2. cota instrumentelor financiare derivate, menţionată la punctul </w:t>
      </w:r>
      <w:r w:rsidR="00970CA2" w:rsidRPr="000F57AA">
        <w:rPr>
          <w:rFonts w:ascii="Times New Roman" w:eastAsia="Times New Roman" w:hAnsi="Times New Roman" w:cs="Times New Roman"/>
          <w:lang w:val="ro-RO"/>
        </w:rPr>
        <w:t>13</w:t>
      </w:r>
      <w:r w:rsidRPr="000F57AA">
        <w:rPr>
          <w:rFonts w:ascii="Times New Roman" w:eastAsia="Times New Roman" w:hAnsi="Times New Roman" w:cs="Times New Roman"/>
          <w:lang w:val="ro-RO"/>
        </w:rPr>
        <w:t>, depășește 2,0 %. Se aplică criteriile de intrare și de ieșire prevăzute la secțiunea 2, capitolul I din prezenta Instrucțiune, cu excepţia cazului menţionat la</w:t>
      </w:r>
      <w:r w:rsidR="00CB72B9"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subpct.18.2, caz în care băncile încep raportarea informaţiilor de la următoarea dată de referinţă a raportării dacă au depășit pragul la o singură dată de referinţă a raportării.</w:t>
      </w:r>
    </w:p>
    <w:p w14:paraId="10987863" w14:textId="7DD73141" w:rsidR="0004614D" w:rsidRPr="000F57AA" w:rsidRDefault="0004614D" w:rsidP="0004614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19. Băncile în cazul cărora cuantumul noţional total folosit ca referinţă de instrumentele financiare derivate, astfel cum este definit la punctul 16, depășește </w:t>
      </w:r>
      <w:r w:rsidR="003016D6" w:rsidRPr="000F57AA">
        <w:rPr>
          <w:rFonts w:ascii="Times New Roman" w:eastAsia="Times New Roman" w:hAnsi="Times New Roman" w:cs="Times New Roman"/>
          <w:lang w:val="ro-RO"/>
        </w:rPr>
        <w:t>echivalentul</w:t>
      </w:r>
      <w:r w:rsidR="00C20026" w:rsidRPr="000F57AA">
        <w:rPr>
          <w:rFonts w:ascii="Times New Roman" w:eastAsia="Times New Roman" w:hAnsi="Times New Roman" w:cs="Times New Roman"/>
          <w:lang w:val="ro-RO" w:eastAsia="ru-RU"/>
        </w:rPr>
        <w:t xml:space="preserve"> </w:t>
      </w:r>
      <w:r w:rsidR="00C20026" w:rsidRPr="000F57AA">
        <w:rPr>
          <w:rFonts w:ascii="Times New Roman" w:eastAsia="Times New Roman" w:hAnsi="Times New Roman" w:cs="Times New Roman"/>
          <w:lang w:val="ro-RO"/>
        </w:rPr>
        <w:t>în lei moldovenești</w:t>
      </w:r>
      <w:r w:rsidR="003016D6" w:rsidRPr="000F57AA">
        <w:rPr>
          <w:rFonts w:ascii="Times New Roman" w:eastAsia="Times New Roman" w:hAnsi="Times New Roman" w:cs="Times New Roman"/>
          <w:lang w:val="ro-RO"/>
        </w:rPr>
        <w:t xml:space="preserve"> a </w:t>
      </w:r>
      <w:r w:rsidRPr="000F57AA">
        <w:rPr>
          <w:rFonts w:ascii="Times New Roman" w:eastAsia="Times New Roman" w:hAnsi="Times New Roman" w:cs="Times New Roman"/>
          <w:lang w:val="ro-RO"/>
        </w:rPr>
        <w:t>10 miliarde EUR completează celulele menţionate la punctul 21, chiar dacă cota lor de instrumente financiare derivate nu îndeplinește condiţiile descrise la punctul 18. Criteriile de intrare prevăzute la secțiunea 2, capitolul I din prezenta Instrucțiune nu se aplică punctului 12. Băncile încep să raporteze informaţiile de la următoarea dată de referinţă a raportării în cazul în care acestea au depășit pragul la o singură dată de referinţă a raportării.</w:t>
      </w:r>
    </w:p>
    <w:p w14:paraId="529A1F71" w14:textId="77777777"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20. Băncile au obligaţia de a completa celulele menţionate la punctul 22 dacă este îndeplinită oricare dintre următoarele condiţii: </w:t>
      </w:r>
    </w:p>
    <w:p w14:paraId="7DB502AC" w14:textId="3295C0D7"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20.1. volumul instrumentelor financiare derivate de credit, menţionat la punctul 17, depășește</w:t>
      </w:r>
      <w:r w:rsidR="001C3985" w:rsidRPr="000F57AA">
        <w:rPr>
          <w:rFonts w:ascii="Times New Roman" w:eastAsia="Times New Roman" w:hAnsi="Times New Roman" w:cs="Times New Roman"/>
          <w:lang w:val="ro-RO"/>
        </w:rPr>
        <w:t xml:space="preserve"> echivalentul </w:t>
      </w:r>
      <w:r w:rsidR="00C20026" w:rsidRPr="000F57AA">
        <w:rPr>
          <w:rFonts w:ascii="Times New Roman" w:eastAsia="Times New Roman" w:hAnsi="Times New Roman" w:cs="Times New Roman"/>
          <w:lang w:val="ro-RO"/>
        </w:rPr>
        <w:t xml:space="preserve">în lei moldovenești </w:t>
      </w:r>
      <w:r w:rsidR="001C3985" w:rsidRPr="000F57AA">
        <w:rPr>
          <w:rFonts w:ascii="Times New Roman" w:eastAsia="Times New Roman" w:hAnsi="Times New Roman" w:cs="Times New Roman"/>
          <w:lang w:val="ro-RO"/>
        </w:rPr>
        <w:t>a</w:t>
      </w:r>
      <w:r w:rsidRPr="000F57AA">
        <w:rPr>
          <w:rFonts w:ascii="Times New Roman" w:eastAsia="Times New Roman" w:hAnsi="Times New Roman" w:cs="Times New Roman"/>
          <w:lang w:val="ro-RO"/>
        </w:rPr>
        <w:t xml:space="preserve"> 300 de milioane EUR; </w:t>
      </w:r>
    </w:p>
    <w:p w14:paraId="24346B69" w14:textId="00E38A1D"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lastRenderedPageBreak/>
        <w:t>20.2. volumul instrumentelor financiare derivate de credit, menţionat la punctul 17, depășește</w:t>
      </w:r>
      <w:r w:rsidR="001C3985" w:rsidRPr="000F57AA">
        <w:rPr>
          <w:rFonts w:ascii="Times New Roman" w:eastAsia="Times New Roman" w:hAnsi="Times New Roman" w:cs="Times New Roman"/>
          <w:lang w:val="ro-RO"/>
        </w:rPr>
        <w:t xml:space="preserve"> echivalentul </w:t>
      </w:r>
      <w:r w:rsidR="00C20026" w:rsidRPr="000F57AA">
        <w:rPr>
          <w:rFonts w:ascii="Times New Roman" w:eastAsia="Times New Roman" w:hAnsi="Times New Roman" w:cs="Times New Roman"/>
          <w:lang w:val="ro-RO"/>
        </w:rPr>
        <w:t xml:space="preserve">în lei moldovenești </w:t>
      </w:r>
      <w:r w:rsidR="001C3985" w:rsidRPr="000F57AA">
        <w:rPr>
          <w:rFonts w:ascii="Times New Roman" w:eastAsia="Times New Roman" w:hAnsi="Times New Roman" w:cs="Times New Roman"/>
          <w:lang w:val="ro-RO"/>
        </w:rPr>
        <w:t>a</w:t>
      </w:r>
      <w:r w:rsidRPr="000F57AA">
        <w:rPr>
          <w:rFonts w:ascii="Times New Roman" w:eastAsia="Times New Roman" w:hAnsi="Times New Roman" w:cs="Times New Roman"/>
          <w:lang w:val="ro-RO"/>
        </w:rPr>
        <w:t xml:space="preserve"> 500 de milioane EUR. </w:t>
      </w:r>
    </w:p>
    <w:p w14:paraId="6D599003" w14:textId="0A09566B"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Se aplică criteriile de intrare și de ieșire prevăzute la secțiunea 2, capitolul I din prezenta Instrucțiune, cu excepţia cazului menţionat la subpct.20.2, caz în care băncile încep raportarea de la următoarea dată de referinţă a raportării dacă au depășit pragul cu ocazia unei singure date de referinţă a raportării.</w:t>
      </w:r>
    </w:p>
    <w:p w14:paraId="61F44BE5" w14:textId="7410847A"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21. Celulele pe care băncile au obligaţia de a le completa în conformitate cu punctele 18 și 19 sunt următoarele: {LR1;0010;0010}, {LR1;0010;0020}, {LR1;0020;0010}, {LR1;0020;0020}, {LR1;0030;0070}, {LR1;0040;0070}, {LR1;0050;0010}, {LR1;0050;0020}, {LR1;0060;0010}, {LR1;0060;0020}, și {LR1;0060;0070}.</w:t>
      </w:r>
    </w:p>
    <w:p w14:paraId="3D70174A" w14:textId="2E1AEC4D"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22. Celulele pe care băncile au obligaţia de a le completa în conformitate cu punctul 20 sunt următoarele: {LR1;0020;0075}, {LR1;0050;0075} și {LR1;0050;0085}.</w:t>
      </w:r>
    </w:p>
    <w:p w14:paraId="3665A38C" w14:textId="77777777" w:rsidR="005523A3" w:rsidRPr="000F57AA" w:rsidRDefault="005523A3" w:rsidP="005523A3">
      <w:pPr>
        <w:spacing w:after="0"/>
        <w:ind w:firstLine="708"/>
        <w:rPr>
          <w:rFonts w:ascii="Times New Roman" w:eastAsia="Times New Roman" w:hAnsi="Times New Roman" w:cs="Times New Roman"/>
          <w:b/>
          <w:bCs/>
          <w:lang w:val="ro-RO"/>
        </w:rPr>
      </w:pPr>
    </w:p>
    <w:p w14:paraId="4CFCCDE1" w14:textId="7A44A472" w:rsidR="005523A3" w:rsidRPr="000F57AA" w:rsidRDefault="005523A3" w:rsidP="005523A3">
      <w:pPr>
        <w:spacing w:after="0"/>
        <w:ind w:firstLine="708"/>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 xml:space="preserve">Secțiunea 3. C 47.00 – Calculul indicatorului efectului de levier (LRCalc) </w:t>
      </w:r>
    </w:p>
    <w:p w14:paraId="5D94964E" w14:textId="19731692"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23. Prezentul formular colectează datele necesare pentru a calcula indicatorul efectului de levier definit în Regulamentul nr.XX/2025.</w:t>
      </w:r>
    </w:p>
    <w:p w14:paraId="427B5262" w14:textId="101451A5"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24. Băncile raportează trimestrial indicatorul efectului de levier. În fiecare trimestru, valoarea „la data de referinţă a raportării” este valoarea din ultima zi calendaristică a celei de a treia luni a trimestrului respectiv.</w:t>
      </w:r>
    </w:p>
    <w:p w14:paraId="2E892A5A" w14:textId="6A6684EF"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25. Băncile raportează elementele din secţiunea „Valori ale expunerii” cu semn pozitiv, în conformitate cu convenţia privind semnele din </w:t>
      </w:r>
      <w:r w:rsidR="00E11F1A" w:rsidRPr="000F57AA">
        <w:rPr>
          <w:rFonts w:ascii="Times New Roman" w:eastAsia="Times New Roman" w:hAnsi="Times New Roman" w:cs="Times New Roman"/>
          <w:lang w:val="ro-RO"/>
        </w:rPr>
        <w:t>subsecțiunea 4, secțiunea 1, capitolul I</w:t>
      </w:r>
      <w:r w:rsidRPr="000F57AA">
        <w:rPr>
          <w:rFonts w:ascii="Times New Roman" w:eastAsia="Times New Roman" w:hAnsi="Times New Roman" w:cs="Times New Roman"/>
          <w:lang w:val="ro-RO"/>
        </w:rPr>
        <w:t xml:space="preserve"> </w:t>
      </w:r>
      <w:bookmarkStart w:id="4" w:name="_Hlk202961745"/>
      <w:r w:rsidR="00E11F1A" w:rsidRPr="000F57AA">
        <w:rPr>
          <w:rFonts w:ascii="Times New Roman" w:eastAsia="Times New Roman" w:hAnsi="Times New Roman" w:cs="Times New Roman"/>
          <w:lang w:val="ro-RO"/>
        </w:rPr>
        <w:t>din prezenta anexă</w:t>
      </w:r>
      <w:bookmarkEnd w:id="4"/>
      <w:r w:rsidR="00355553"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 xml:space="preserve">(cu excepţia elementelor {LRCalc;0270;0010}), </w:t>
      </w:r>
      <w:r w:rsidR="00F5765F" w:rsidRPr="000F57AA">
        <w:rPr>
          <w:rFonts w:ascii="Times New Roman" w:eastAsia="Times New Roman" w:hAnsi="Times New Roman" w:cs="Times New Roman"/>
          <w:lang w:val="ro-RO"/>
        </w:rPr>
        <w:t xml:space="preserve">ca și cum </w:t>
      </w:r>
      <w:r w:rsidRPr="000F57AA">
        <w:rPr>
          <w:rFonts w:ascii="Times New Roman" w:eastAsia="Times New Roman" w:hAnsi="Times New Roman" w:cs="Times New Roman"/>
          <w:lang w:val="ro-RO"/>
        </w:rPr>
        <w:t xml:space="preserve">elementele raportate cu semn negativ (de exemplu exceptările/deducerile) în conformitate cu convenţia privind semnele </w:t>
      </w:r>
      <w:bookmarkStart w:id="5" w:name="_Hlk202961464"/>
      <w:r w:rsidRPr="000F57AA">
        <w:rPr>
          <w:rFonts w:ascii="Times New Roman" w:eastAsia="Times New Roman" w:hAnsi="Times New Roman" w:cs="Times New Roman"/>
          <w:lang w:val="ro-RO"/>
        </w:rPr>
        <w:t xml:space="preserve">din </w:t>
      </w:r>
      <w:r w:rsidR="00F15FC3" w:rsidRPr="000F57AA">
        <w:rPr>
          <w:rFonts w:ascii="Times New Roman" w:eastAsia="Times New Roman" w:hAnsi="Times New Roman" w:cs="Times New Roman"/>
          <w:lang w:val="ro-RO"/>
        </w:rPr>
        <w:t>subsecțiunea 4, secțiunea 1, capitolul I</w:t>
      </w:r>
      <w:r w:rsidRPr="000F57AA">
        <w:rPr>
          <w:rFonts w:ascii="Times New Roman" w:eastAsia="Times New Roman" w:hAnsi="Times New Roman" w:cs="Times New Roman"/>
          <w:lang w:val="ro-RO"/>
        </w:rPr>
        <w:t xml:space="preserve"> </w:t>
      </w:r>
      <w:bookmarkEnd w:id="5"/>
      <w:r w:rsidR="00E11F1A" w:rsidRPr="000F57AA">
        <w:rPr>
          <w:rFonts w:ascii="Times New Roman" w:eastAsia="Times New Roman" w:hAnsi="Times New Roman" w:cs="Times New Roman"/>
          <w:lang w:val="ro-RO"/>
        </w:rPr>
        <w:t xml:space="preserve">din prezenta anexă </w:t>
      </w:r>
      <w:r w:rsidRPr="000F57AA">
        <w:rPr>
          <w:rFonts w:ascii="Times New Roman" w:eastAsia="Times New Roman" w:hAnsi="Times New Roman" w:cs="Times New Roman"/>
          <w:lang w:val="ro-RO"/>
        </w:rPr>
        <w:t>nu s-ar aplica.</w:t>
      </w:r>
    </w:p>
    <w:p w14:paraId="2920444C" w14:textId="5D7ADD44" w:rsidR="005523A3" w:rsidRPr="000F57AA" w:rsidRDefault="005523A3"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26. Orice cuantum cu care se majorează fondurile proprii sau expunerea pentru calcularea indicatorului efectului de levier se raportează ca valoare pozitivă. </w:t>
      </w:r>
      <w:r w:rsidR="00F5765F" w:rsidRPr="000F57AA">
        <w:rPr>
          <w:rFonts w:ascii="Times New Roman" w:eastAsia="Times New Roman" w:hAnsi="Times New Roman" w:cs="Times New Roman"/>
          <w:lang w:val="ro-RO"/>
        </w:rPr>
        <w:t xml:space="preserve">În schimb, orice </w:t>
      </w:r>
      <w:r w:rsidRPr="000F57AA">
        <w:rPr>
          <w:rFonts w:ascii="Times New Roman" w:eastAsia="Times New Roman" w:hAnsi="Times New Roman" w:cs="Times New Roman"/>
          <w:lang w:val="ro-RO"/>
        </w:rPr>
        <w:t>cuantum cu care se reduce totalul fondurilor proprii sau expunerea pentru calcularea indicatorului efectului de levier se raportează ca valoare negativă. În cazul în care există un semn negativ (-) în faţa denumirii unui element, se presupune că pentru elementul respectiv nu se va raporta nicio valoare pozitivă.</w:t>
      </w:r>
    </w:p>
    <w:p w14:paraId="5F0BB226" w14:textId="0EA92FD6" w:rsidR="00117969" w:rsidRPr="000F57AA" w:rsidRDefault="00855350" w:rsidP="005523A3">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27. În cazul în care un cuantum </w:t>
      </w:r>
      <w:r w:rsidR="00950C6C" w:rsidRPr="000F57AA">
        <w:rPr>
          <w:rFonts w:ascii="Times New Roman" w:eastAsia="Times New Roman" w:hAnsi="Times New Roman" w:cs="Times New Roman"/>
          <w:lang w:val="ro-RO"/>
        </w:rPr>
        <w:t>se</w:t>
      </w:r>
      <w:r w:rsidRPr="000F57AA">
        <w:rPr>
          <w:rFonts w:ascii="Times New Roman" w:eastAsia="Times New Roman" w:hAnsi="Times New Roman" w:cs="Times New Roman"/>
          <w:lang w:val="ro-RO"/>
        </w:rPr>
        <w:t xml:space="preserve"> </w:t>
      </w:r>
      <w:r w:rsidR="00950C6C" w:rsidRPr="000F57AA">
        <w:rPr>
          <w:rFonts w:ascii="Times New Roman" w:eastAsia="Times New Roman" w:hAnsi="Times New Roman" w:cs="Times New Roman"/>
          <w:lang w:val="ro-RO"/>
        </w:rPr>
        <w:t xml:space="preserve">califică </w:t>
      </w:r>
      <w:r w:rsidRPr="000F57AA">
        <w:rPr>
          <w:rFonts w:ascii="Times New Roman" w:eastAsia="Times New Roman" w:hAnsi="Times New Roman" w:cs="Times New Roman"/>
          <w:lang w:val="ro-RO"/>
        </w:rPr>
        <w:t>pentru deducere pe baza mai multor motive, cuantumul respectiv se scade din expunere doar pe un singur rând din formularul C</w:t>
      </w:r>
      <w:r w:rsidR="00D10246"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47.00.</w:t>
      </w:r>
    </w:p>
    <w:p w14:paraId="632AE5D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 47.00 - CALCULUL INDICATORULUI EFECTULUI DE LEVIER (LRCalc)</w:t>
      </w:r>
    </w:p>
    <w:tbl>
      <w:tblPr>
        <w:tblW w:w="9721"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7468"/>
        <w:gridCol w:w="1698"/>
      </w:tblGrid>
      <w:tr w:rsidR="00D9298D" w:rsidRPr="00A05A6A" w14:paraId="7EEE3CB0" w14:textId="77777777" w:rsidTr="00381D5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7FC159C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379D0E5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Valori ale expunerii</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1F3CEA1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Expunere LR: Data de referință a raportării</w:t>
            </w:r>
          </w:p>
        </w:tc>
      </w:tr>
      <w:tr w:rsidR="00D9298D" w:rsidRPr="000F57AA" w14:paraId="21E37CED" w14:textId="77777777" w:rsidTr="00381D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49B2A32" w14:textId="77777777" w:rsidR="00D9298D" w:rsidRPr="000F57AA" w:rsidRDefault="00D9298D" w:rsidP="00D9298D">
            <w:pPr>
              <w:spacing w:after="0" w:line="240" w:lineRule="auto"/>
              <w:rPr>
                <w:rFonts w:ascii="Times New Roman" w:eastAsia="Times New Roman" w:hAnsi="Times New Roman" w:cs="Times New Roman"/>
                <w:b/>
                <w:bCs/>
                <w:color w:val="000000"/>
                <w:lang w:val="ro-RO" w:eastAsia="ro-MD"/>
              </w:rPr>
            </w:pPr>
          </w:p>
        </w:tc>
        <w:tc>
          <w:tcPr>
            <w:tcW w:w="7468"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FAE7631" w14:textId="77777777" w:rsidR="00D9298D" w:rsidRPr="000F57AA" w:rsidRDefault="00D9298D" w:rsidP="00D9298D">
            <w:pPr>
              <w:spacing w:after="0" w:line="240" w:lineRule="auto"/>
              <w:rPr>
                <w:rFonts w:ascii="Times New Roman" w:eastAsia="Times New Roman" w:hAnsi="Times New Roman" w:cs="Times New Roman"/>
                <w:b/>
                <w:bCs/>
                <w:color w:val="000000"/>
                <w:lang w:val="ro-RO" w:eastAsia="ro-MD"/>
              </w:rPr>
            </w:pP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2F8E7D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0010</w:t>
            </w:r>
          </w:p>
        </w:tc>
      </w:tr>
      <w:tr w:rsidR="00D9298D" w:rsidRPr="000F57AA" w14:paraId="5D3814F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3C44B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0010</w:t>
            </w:r>
          </w:p>
        </w:tc>
        <w:tc>
          <w:tcPr>
            <w:tcW w:w="7468" w:type="dxa"/>
            <w:tcBorders>
              <w:top w:val="outset" w:sz="6" w:space="0" w:color="auto"/>
              <w:left w:val="outset" w:sz="6" w:space="0" w:color="auto"/>
              <w:bottom w:val="outset" w:sz="6" w:space="0" w:color="auto"/>
              <w:right w:val="outset" w:sz="6" w:space="0" w:color="auto"/>
            </w:tcBorders>
            <w:hideMark/>
          </w:tcPr>
          <w:p w14:paraId="3624652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SFT-uri: Valoarea expunerii</w:t>
            </w:r>
          </w:p>
        </w:tc>
        <w:tc>
          <w:tcPr>
            <w:tcW w:w="0" w:type="auto"/>
            <w:tcBorders>
              <w:top w:val="outset" w:sz="6" w:space="0" w:color="auto"/>
              <w:left w:val="outset" w:sz="6" w:space="0" w:color="auto"/>
              <w:bottom w:val="outset" w:sz="6" w:space="0" w:color="auto"/>
              <w:right w:val="outset" w:sz="6" w:space="0" w:color="auto"/>
            </w:tcBorders>
            <w:hideMark/>
          </w:tcPr>
          <w:p w14:paraId="2D48CEF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2709A6BB"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886B7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0020</w:t>
            </w:r>
          </w:p>
        </w:tc>
        <w:tc>
          <w:tcPr>
            <w:tcW w:w="7468" w:type="dxa"/>
            <w:tcBorders>
              <w:top w:val="outset" w:sz="6" w:space="0" w:color="auto"/>
              <w:left w:val="outset" w:sz="6" w:space="0" w:color="auto"/>
              <w:bottom w:val="outset" w:sz="6" w:space="0" w:color="auto"/>
              <w:right w:val="outset" w:sz="6" w:space="0" w:color="auto"/>
            </w:tcBorders>
            <w:hideMark/>
          </w:tcPr>
          <w:p w14:paraId="4B90A9F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SFT-uri: majorare pentru riscul de contraparte</w:t>
            </w:r>
          </w:p>
        </w:tc>
        <w:tc>
          <w:tcPr>
            <w:tcW w:w="0" w:type="auto"/>
            <w:tcBorders>
              <w:top w:val="outset" w:sz="6" w:space="0" w:color="auto"/>
              <w:left w:val="outset" w:sz="6" w:space="0" w:color="auto"/>
              <w:bottom w:val="outset" w:sz="6" w:space="0" w:color="auto"/>
              <w:right w:val="outset" w:sz="6" w:space="0" w:color="auto"/>
            </w:tcBorders>
            <w:hideMark/>
          </w:tcPr>
          <w:p w14:paraId="07D5903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09C0913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4E223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0030</w:t>
            </w:r>
          </w:p>
        </w:tc>
        <w:tc>
          <w:tcPr>
            <w:tcW w:w="7468" w:type="dxa"/>
            <w:tcBorders>
              <w:top w:val="outset" w:sz="6" w:space="0" w:color="auto"/>
              <w:left w:val="outset" w:sz="6" w:space="0" w:color="auto"/>
              <w:bottom w:val="outset" w:sz="6" w:space="0" w:color="auto"/>
              <w:right w:val="outset" w:sz="6" w:space="0" w:color="auto"/>
            </w:tcBorders>
            <w:hideMark/>
          </w:tcPr>
          <w:p w14:paraId="28842A85" w14:textId="263602D3" w:rsidR="00D9298D" w:rsidRPr="000F57AA" w:rsidRDefault="00D9298D" w:rsidP="00D9298D">
            <w:pPr>
              <w:spacing w:before="100" w:beforeAutospacing="1" w:after="100" w:afterAutospacing="1"/>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Derogare pentru SFT-uri: majorare conform pct.</w:t>
            </w:r>
            <w:r w:rsidR="00562345" w:rsidRPr="000F57AA">
              <w:rPr>
                <w:rFonts w:ascii="Times New Roman" w:eastAsia="Times New Roman" w:hAnsi="Times New Roman" w:cs="Times New Roman"/>
                <w:color w:val="000000"/>
                <w:lang w:val="ro-RO" w:eastAsia="ro-MD"/>
              </w:rPr>
              <w:t xml:space="preserve">58 </w:t>
            </w:r>
            <w:r w:rsidRPr="000F57AA">
              <w:rPr>
                <w:rFonts w:ascii="Times New Roman" w:eastAsia="Times New Roman" w:hAnsi="Times New Roman" w:cs="Times New Roman"/>
                <w:color w:val="000000"/>
                <w:lang w:val="ro-RO" w:eastAsia="ro-MD"/>
              </w:rPr>
              <w:t xml:space="preserve">din Regulamentul nr.XX/2025 și pct.73-83 din Regulamentul nr.112/2018 </w:t>
            </w:r>
          </w:p>
        </w:tc>
        <w:tc>
          <w:tcPr>
            <w:tcW w:w="0" w:type="auto"/>
            <w:tcBorders>
              <w:top w:val="outset" w:sz="6" w:space="0" w:color="auto"/>
              <w:left w:val="outset" w:sz="6" w:space="0" w:color="auto"/>
              <w:bottom w:val="outset" w:sz="6" w:space="0" w:color="auto"/>
              <w:right w:val="outset" w:sz="6" w:space="0" w:color="auto"/>
            </w:tcBorders>
            <w:hideMark/>
          </w:tcPr>
          <w:p w14:paraId="715FF82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0A4A2E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90C8A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0040</w:t>
            </w:r>
          </w:p>
        </w:tc>
        <w:tc>
          <w:tcPr>
            <w:tcW w:w="7468" w:type="dxa"/>
            <w:tcBorders>
              <w:top w:val="outset" w:sz="6" w:space="0" w:color="auto"/>
              <w:left w:val="outset" w:sz="6" w:space="0" w:color="auto"/>
              <w:bottom w:val="outset" w:sz="6" w:space="0" w:color="auto"/>
              <w:right w:val="outset" w:sz="6" w:space="0" w:color="auto"/>
            </w:tcBorders>
            <w:hideMark/>
          </w:tcPr>
          <w:p w14:paraId="3C6F3D7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Riscul de contraparte pentru SFT-uri încheiate în calitate de agent</w:t>
            </w:r>
          </w:p>
        </w:tc>
        <w:tc>
          <w:tcPr>
            <w:tcW w:w="0" w:type="auto"/>
            <w:tcBorders>
              <w:top w:val="outset" w:sz="6" w:space="0" w:color="auto"/>
              <w:left w:val="outset" w:sz="6" w:space="0" w:color="auto"/>
              <w:bottom w:val="outset" w:sz="6" w:space="0" w:color="auto"/>
              <w:right w:val="outset" w:sz="6" w:space="0" w:color="auto"/>
            </w:tcBorders>
            <w:hideMark/>
          </w:tcPr>
          <w:p w14:paraId="12959C9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7DD2B20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0A0FD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0050</w:t>
            </w:r>
          </w:p>
        </w:tc>
        <w:tc>
          <w:tcPr>
            <w:tcW w:w="7468" w:type="dxa"/>
            <w:tcBorders>
              <w:top w:val="outset" w:sz="6" w:space="0" w:color="auto"/>
              <w:left w:val="outset" w:sz="6" w:space="0" w:color="auto"/>
              <w:bottom w:val="outset" w:sz="6" w:space="0" w:color="auto"/>
              <w:right w:val="outset" w:sz="6" w:space="0" w:color="auto"/>
            </w:tcBorders>
            <w:hideMark/>
          </w:tcPr>
          <w:p w14:paraId="780DC2F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Segmentul CPC exclus din expunerile aferente SFT-urilor compensate pentru clienți</w:t>
            </w:r>
          </w:p>
        </w:tc>
        <w:tc>
          <w:tcPr>
            <w:tcW w:w="0" w:type="auto"/>
            <w:tcBorders>
              <w:top w:val="outset" w:sz="6" w:space="0" w:color="auto"/>
              <w:left w:val="outset" w:sz="6" w:space="0" w:color="auto"/>
              <w:bottom w:val="outset" w:sz="6" w:space="0" w:color="auto"/>
              <w:right w:val="outset" w:sz="6" w:space="0" w:color="auto"/>
            </w:tcBorders>
            <w:hideMark/>
          </w:tcPr>
          <w:p w14:paraId="42FCF86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0C22B5B"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04A73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0061</w:t>
            </w:r>
          </w:p>
        </w:tc>
        <w:tc>
          <w:tcPr>
            <w:tcW w:w="7468" w:type="dxa"/>
            <w:tcBorders>
              <w:top w:val="outset" w:sz="6" w:space="0" w:color="auto"/>
              <w:left w:val="outset" w:sz="6" w:space="0" w:color="auto"/>
              <w:bottom w:val="outset" w:sz="6" w:space="0" w:color="auto"/>
              <w:right w:val="outset" w:sz="6" w:space="0" w:color="auto"/>
            </w:tcBorders>
            <w:hideMark/>
          </w:tcPr>
          <w:p w14:paraId="289089D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contribuția la costul de înlocuire în cadrul SA-CCR (fără efectul garanției reale asupra NICA)</w:t>
            </w:r>
          </w:p>
        </w:tc>
        <w:tc>
          <w:tcPr>
            <w:tcW w:w="0" w:type="auto"/>
            <w:tcBorders>
              <w:top w:val="outset" w:sz="6" w:space="0" w:color="auto"/>
              <w:left w:val="outset" w:sz="6" w:space="0" w:color="auto"/>
              <w:bottom w:val="outset" w:sz="6" w:space="0" w:color="auto"/>
              <w:right w:val="outset" w:sz="6" w:space="0" w:color="auto"/>
            </w:tcBorders>
            <w:hideMark/>
          </w:tcPr>
          <w:p w14:paraId="4C046C7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68B48F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06344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0065</w:t>
            </w:r>
          </w:p>
        </w:tc>
        <w:tc>
          <w:tcPr>
            <w:tcW w:w="7468" w:type="dxa"/>
            <w:tcBorders>
              <w:top w:val="outset" w:sz="6" w:space="0" w:color="auto"/>
              <w:left w:val="outset" w:sz="6" w:space="0" w:color="auto"/>
              <w:bottom w:val="outset" w:sz="6" w:space="0" w:color="auto"/>
              <w:right w:val="outset" w:sz="6" w:space="0" w:color="auto"/>
            </w:tcBorders>
            <w:hideMark/>
          </w:tcPr>
          <w:p w14:paraId="4D0F4E3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recunoașterii garanției reale asupra NICA în cazul tranzacțiilor încheiate cu clienți care sunt compensate de o CPCC (costul de înlocuire în cadrul SA-CCR)</w:t>
            </w:r>
          </w:p>
        </w:tc>
        <w:tc>
          <w:tcPr>
            <w:tcW w:w="0" w:type="auto"/>
            <w:tcBorders>
              <w:top w:val="outset" w:sz="6" w:space="0" w:color="auto"/>
              <w:left w:val="outset" w:sz="6" w:space="0" w:color="auto"/>
              <w:bottom w:val="outset" w:sz="6" w:space="0" w:color="auto"/>
              <w:right w:val="outset" w:sz="6" w:space="0" w:color="auto"/>
            </w:tcBorders>
            <w:hideMark/>
          </w:tcPr>
          <w:p w14:paraId="5F37B0E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4F2F94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7C0A6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0071</w:t>
            </w:r>
          </w:p>
        </w:tc>
        <w:tc>
          <w:tcPr>
            <w:tcW w:w="7468" w:type="dxa"/>
            <w:tcBorders>
              <w:top w:val="outset" w:sz="6" w:space="0" w:color="auto"/>
              <w:left w:val="outset" w:sz="6" w:space="0" w:color="auto"/>
              <w:bottom w:val="outset" w:sz="6" w:space="0" w:color="auto"/>
              <w:right w:val="outset" w:sz="6" w:space="0" w:color="auto"/>
            </w:tcBorders>
            <w:hideMark/>
          </w:tcPr>
          <w:p w14:paraId="29A7A187" w14:textId="3D861084"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Efectul deducerii marjei de variație în numerar </w:t>
            </w:r>
            <w:r w:rsidR="00DB4CA6" w:rsidRPr="000F57AA">
              <w:rPr>
                <w:rFonts w:ascii="Times New Roman" w:eastAsia="Times New Roman" w:hAnsi="Times New Roman" w:cs="Times New Roman"/>
                <w:color w:val="000000"/>
                <w:lang w:val="ro-RO" w:eastAsia="ro-MD"/>
              </w:rPr>
              <w:t xml:space="preserve">eligibile </w:t>
            </w:r>
            <w:r w:rsidRPr="000F57AA">
              <w:rPr>
                <w:rFonts w:ascii="Times New Roman" w:eastAsia="Times New Roman" w:hAnsi="Times New Roman" w:cs="Times New Roman"/>
                <w:color w:val="000000"/>
                <w:lang w:val="ro-RO" w:eastAsia="ro-MD"/>
              </w:rPr>
              <w:t>primite din valoarea de piață a instrumentelor financiare derivate (costul de înlocuire în cadrul SA-CCR)</w:t>
            </w:r>
          </w:p>
        </w:tc>
        <w:tc>
          <w:tcPr>
            <w:tcW w:w="0" w:type="auto"/>
            <w:tcBorders>
              <w:top w:val="outset" w:sz="6" w:space="0" w:color="auto"/>
              <w:left w:val="outset" w:sz="6" w:space="0" w:color="auto"/>
              <w:bottom w:val="outset" w:sz="6" w:space="0" w:color="auto"/>
              <w:right w:val="outset" w:sz="6" w:space="0" w:color="auto"/>
            </w:tcBorders>
            <w:hideMark/>
          </w:tcPr>
          <w:p w14:paraId="1EEC93E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5E609DA"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521C5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0081</w:t>
            </w:r>
          </w:p>
        </w:tc>
        <w:tc>
          <w:tcPr>
            <w:tcW w:w="7468" w:type="dxa"/>
            <w:tcBorders>
              <w:top w:val="outset" w:sz="6" w:space="0" w:color="auto"/>
              <w:left w:val="outset" w:sz="6" w:space="0" w:color="auto"/>
              <w:bottom w:val="outset" w:sz="6" w:space="0" w:color="auto"/>
              <w:right w:val="outset" w:sz="6" w:space="0" w:color="auto"/>
            </w:tcBorders>
            <w:hideMark/>
          </w:tcPr>
          <w:p w14:paraId="71171A7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segmentului CPC exclus din expunerile aferente tranzacțiilor compensate pentru clienți (costul de înlocuire în cadrul SA-CCR)</w:t>
            </w:r>
          </w:p>
        </w:tc>
        <w:tc>
          <w:tcPr>
            <w:tcW w:w="0" w:type="auto"/>
            <w:tcBorders>
              <w:top w:val="outset" w:sz="6" w:space="0" w:color="auto"/>
              <w:left w:val="outset" w:sz="6" w:space="0" w:color="auto"/>
              <w:bottom w:val="outset" w:sz="6" w:space="0" w:color="auto"/>
              <w:right w:val="outset" w:sz="6" w:space="0" w:color="auto"/>
            </w:tcBorders>
            <w:hideMark/>
          </w:tcPr>
          <w:p w14:paraId="1E600D2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3E5FF9B"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14EB3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0091</w:t>
            </w:r>
          </w:p>
        </w:tc>
        <w:tc>
          <w:tcPr>
            <w:tcW w:w="7468" w:type="dxa"/>
            <w:tcBorders>
              <w:top w:val="outset" w:sz="6" w:space="0" w:color="auto"/>
              <w:left w:val="outset" w:sz="6" w:space="0" w:color="auto"/>
              <w:bottom w:val="outset" w:sz="6" w:space="0" w:color="auto"/>
              <w:right w:val="outset" w:sz="6" w:space="0" w:color="auto"/>
            </w:tcBorders>
            <w:hideMark/>
          </w:tcPr>
          <w:p w14:paraId="4E90F3A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contribuția la expunerea viitoare potențială în cadrul SA-CCR (multiplicatorul este egal cu 1)</w:t>
            </w:r>
          </w:p>
        </w:tc>
        <w:tc>
          <w:tcPr>
            <w:tcW w:w="0" w:type="auto"/>
            <w:tcBorders>
              <w:top w:val="outset" w:sz="6" w:space="0" w:color="auto"/>
              <w:left w:val="outset" w:sz="6" w:space="0" w:color="auto"/>
              <w:bottom w:val="outset" w:sz="6" w:space="0" w:color="auto"/>
              <w:right w:val="outset" w:sz="6" w:space="0" w:color="auto"/>
            </w:tcBorders>
            <w:hideMark/>
          </w:tcPr>
          <w:p w14:paraId="29E0108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48A0A40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8B8F8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0092</w:t>
            </w:r>
          </w:p>
        </w:tc>
        <w:tc>
          <w:tcPr>
            <w:tcW w:w="7468" w:type="dxa"/>
            <w:tcBorders>
              <w:top w:val="outset" w:sz="6" w:space="0" w:color="auto"/>
              <w:left w:val="outset" w:sz="6" w:space="0" w:color="auto"/>
              <w:bottom w:val="outset" w:sz="6" w:space="0" w:color="auto"/>
              <w:right w:val="outset" w:sz="6" w:space="0" w:color="auto"/>
            </w:tcBorders>
            <w:hideMark/>
          </w:tcPr>
          <w:p w14:paraId="7A0D62E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unui multiplicator mai scăzut în cazul tranzacțiilor încheiate cu clienți care sunt compensate de o CPCC asupra contribuției la expunerea viitoare potențială (expunerea viitoare potențială în cadrul SA-CCR)</w:t>
            </w:r>
          </w:p>
        </w:tc>
        <w:tc>
          <w:tcPr>
            <w:tcW w:w="0" w:type="auto"/>
            <w:tcBorders>
              <w:top w:val="outset" w:sz="6" w:space="0" w:color="auto"/>
              <w:left w:val="outset" w:sz="6" w:space="0" w:color="auto"/>
              <w:bottom w:val="outset" w:sz="6" w:space="0" w:color="auto"/>
              <w:right w:val="outset" w:sz="6" w:space="0" w:color="auto"/>
            </w:tcBorders>
            <w:hideMark/>
          </w:tcPr>
          <w:p w14:paraId="6E97979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4FDA03C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C15E5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0093</w:t>
            </w:r>
          </w:p>
        </w:tc>
        <w:tc>
          <w:tcPr>
            <w:tcW w:w="7468" w:type="dxa"/>
            <w:tcBorders>
              <w:top w:val="outset" w:sz="6" w:space="0" w:color="auto"/>
              <w:left w:val="outset" w:sz="6" w:space="0" w:color="auto"/>
              <w:bottom w:val="outset" w:sz="6" w:space="0" w:color="auto"/>
              <w:right w:val="outset" w:sz="6" w:space="0" w:color="auto"/>
            </w:tcBorders>
            <w:hideMark/>
          </w:tcPr>
          <w:p w14:paraId="764DC3A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segmentului CPC exclus din expunerile aferente tranzacțiilor compensate pentru clienți (expunerea viitoare potențială în cadrul SA-CCR)</w:t>
            </w:r>
          </w:p>
        </w:tc>
        <w:tc>
          <w:tcPr>
            <w:tcW w:w="0" w:type="auto"/>
            <w:tcBorders>
              <w:top w:val="outset" w:sz="6" w:space="0" w:color="auto"/>
              <w:left w:val="outset" w:sz="6" w:space="0" w:color="auto"/>
              <w:bottom w:val="outset" w:sz="6" w:space="0" w:color="auto"/>
              <w:right w:val="outset" w:sz="6" w:space="0" w:color="auto"/>
            </w:tcBorders>
            <w:hideMark/>
          </w:tcPr>
          <w:p w14:paraId="20574AB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58508B7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CEE29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0101</w:t>
            </w:r>
          </w:p>
        </w:tc>
        <w:tc>
          <w:tcPr>
            <w:tcW w:w="7468" w:type="dxa"/>
            <w:tcBorders>
              <w:top w:val="outset" w:sz="6" w:space="0" w:color="auto"/>
              <w:left w:val="outset" w:sz="6" w:space="0" w:color="auto"/>
              <w:bottom w:val="outset" w:sz="6" w:space="0" w:color="auto"/>
              <w:right w:val="outset" w:sz="6" w:space="0" w:color="auto"/>
            </w:tcBorders>
            <w:hideMark/>
          </w:tcPr>
          <w:p w14:paraId="10D6E49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Derogare pentru instrumente financiare derivate: contribuția la costurile de înlocuire în cadrul abordării standardizate simplificate</w:t>
            </w:r>
          </w:p>
        </w:tc>
        <w:tc>
          <w:tcPr>
            <w:tcW w:w="0" w:type="auto"/>
            <w:tcBorders>
              <w:top w:val="outset" w:sz="6" w:space="0" w:color="auto"/>
              <w:left w:val="outset" w:sz="6" w:space="0" w:color="auto"/>
              <w:bottom w:val="outset" w:sz="6" w:space="0" w:color="auto"/>
              <w:right w:val="outset" w:sz="6" w:space="0" w:color="auto"/>
            </w:tcBorders>
            <w:hideMark/>
          </w:tcPr>
          <w:p w14:paraId="1F0D325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0215859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02607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0102</w:t>
            </w:r>
          </w:p>
        </w:tc>
        <w:tc>
          <w:tcPr>
            <w:tcW w:w="7468" w:type="dxa"/>
            <w:tcBorders>
              <w:top w:val="outset" w:sz="6" w:space="0" w:color="auto"/>
              <w:left w:val="outset" w:sz="6" w:space="0" w:color="auto"/>
              <w:bottom w:val="outset" w:sz="6" w:space="0" w:color="auto"/>
              <w:right w:val="outset" w:sz="6" w:space="0" w:color="auto"/>
            </w:tcBorders>
            <w:hideMark/>
          </w:tcPr>
          <w:p w14:paraId="673B9D1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segmentului CPC exclus din expunerile aferente tranzacțiilor compensate pentru clienți (costurile de înlocuire în cadrul abordării standardizate simplificate)</w:t>
            </w:r>
          </w:p>
        </w:tc>
        <w:tc>
          <w:tcPr>
            <w:tcW w:w="0" w:type="auto"/>
            <w:tcBorders>
              <w:top w:val="outset" w:sz="6" w:space="0" w:color="auto"/>
              <w:left w:val="outset" w:sz="6" w:space="0" w:color="auto"/>
              <w:bottom w:val="outset" w:sz="6" w:space="0" w:color="auto"/>
              <w:right w:val="outset" w:sz="6" w:space="0" w:color="auto"/>
            </w:tcBorders>
            <w:hideMark/>
          </w:tcPr>
          <w:p w14:paraId="7505FF0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3CD7762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B1ACD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0103</w:t>
            </w:r>
          </w:p>
        </w:tc>
        <w:tc>
          <w:tcPr>
            <w:tcW w:w="7468" w:type="dxa"/>
            <w:tcBorders>
              <w:top w:val="outset" w:sz="6" w:space="0" w:color="auto"/>
              <w:left w:val="outset" w:sz="6" w:space="0" w:color="auto"/>
              <w:bottom w:val="outset" w:sz="6" w:space="0" w:color="auto"/>
              <w:right w:val="outset" w:sz="6" w:space="0" w:color="auto"/>
            </w:tcBorders>
            <w:hideMark/>
          </w:tcPr>
          <w:p w14:paraId="5141AC6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Derogare pentru instrumente financiare derivate: contribuția la expunerea viitoare potențială în cadrul abordării standardizate simplificate (multiplicatorul este egal cu 1)</w:t>
            </w:r>
          </w:p>
        </w:tc>
        <w:tc>
          <w:tcPr>
            <w:tcW w:w="0" w:type="auto"/>
            <w:tcBorders>
              <w:top w:val="outset" w:sz="6" w:space="0" w:color="auto"/>
              <w:left w:val="outset" w:sz="6" w:space="0" w:color="auto"/>
              <w:bottom w:val="outset" w:sz="6" w:space="0" w:color="auto"/>
              <w:right w:val="outset" w:sz="6" w:space="0" w:color="auto"/>
            </w:tcBorders>
            <w:hideMark/>
          </w:tcPr>
          <w:p w14:paraId="5F7F972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02B34FA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DDC4F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0104</w:t>
            </w:r>
          </w:p>
        </w:tc>
        <w:tc>
          <w:tcPr>
            <w:tcW w:w="7468" w:type="dxa"/>
            <w:tcBorders>
              <w:top w:val="outset" w:sz="6" w:space="0" w:color="auto"/>
              <w:left w:val="outset" w:sz="6" w:space="0" w:color="auto"/>
              <w:bottom w:val="outset" w:sz="6" w:space="0" w:color="auto"/>
              <w:right w:val="outset" w:sz="6" w:space="0" w:color="auto"/>
            </w:tcBorders>
            <w:hideMark/>
          </w:tcPr>
          <w:p w14:paraId="46D8F93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Efectul segmentului CPC exclus din expunerile aferente tranzacțiilor compensate pentru clienți (expunerea viitoare potențială în cadrul abordării standardizate simplificate)</w:t>
            </w:r>
          </w:p>
        </w:tc>
        <w:tc>
          <w:tcPr>
            <w:tcW w:w="0" w:type="auto"/>
            <w:tcBorders>
              <w:top w:val="outset" w:sz="6" w:space="0" w:color="auto"/>
              <w:left w:val="outset" w:sz="6" w:space="0" w:color="auto"/>
              <w:bottom w:val="outset" w:sz="6" w:space="0" w:color="auto"/>
              <w:right w:val="outset" w:sz="6" w:space="0" w:color="auto"/>
            </w:tcBorders>
            <w:hideMark/>
          </w:tcPr>
          <w:p w14:paraId="0CDC83A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286115E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034CB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0110</w:t>
            </w:r>
          </w:p>
        </w:tc>
        <w:tc>
          <w:tcPr>
            <w:tcW w:w="7468" w:type="dxa"/>
            <w:tcBorders>
              <w:top w:val="outset" w:sz="6" w:space="0" w:color="auto"/>
              <w:left w:val="outset" w:sz="6" w:space="0" w:color="auto"/>
              <w:bottom w:val="outset" w:sz="6" w:space="0" w:color="auto"/>
              <w:right w:val="outset" w:sz="6" w:space="0" w:color="auto"/>
            </w:tcBorders>
            <w:hideMark/>
          </w:tcPr>
          <w:p w14:paraId="7DA24E1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Derogare pentru instrumente financiare derivate: metoda expunerii inițiale</w:t>
            </w:r>
          </w:p>
        </w:tc>
        <w:tc>
          <w:tcPr>
            <w:tcW w:w="0" w:type="auto"/>
            <w:tcBorders>
              <w:top w:val="outset" w:sz="6" w:space="0" w:color="auto"/>
              <w:left w:val="outset" w:sz="6" w:space="0" w:color="auto"/>
              <w:bottom w:val="outset" w:sz="6" w:space="0" w:color="auto"/>
              <w:right w:val="outset" w:sz="6" w:space="0" w:color="auto"/>
            </w:tcBorders>
            <w:hideMark/>
          </w:tcPr>
          <w:p w14:paraId="569B8C4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026246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91E26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0120</w:t>
            </w:r>
          </w:p>
        </w:tc>
        <w:tc>
          <w:tcPr>
            <w:tcW w:w="7468" w:type="dxa"/>
            <w:tcBorders>
              <w:top w:val="outset" w:sz="6" w:space="0" w:color="auto"/>
              <w:left w:val="outset" w:sz="6" w:space="0" w:color="auto"/>
              <w:bottom w:val="outset" w:sz="6" w:space="0" w:color="auto"/>
              <w:right w:val="outset" w:sz="6" w:space="0" w:color="auto"/>
            </w:tcBorders>
            <w:hideMark/>
          </w:tcPr>
          <w:p w14:paraId="0AA899E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Segmentul CPC exclus din expunerile aferente tranzacțiilor compensate pentru clienți (metoda expunerii inițiale)</w:t>
            </w:r>
          </w:p>
        </w:tc>
        <w:tc>
          <w:tcPr>
            <w:tcW w:w="0" w:type="auto"/>
            <w:tcBorders>
              <w:top w:val="outset" w:sz="6" w:space="0" w:color="auto"/>
              <w:left w:val="outset" w:sz="6" w:space="0" w:color="auto"/>
              <w:bottom w:val="outset" w:sz="6" w:space="0" w:color="auto"/>
              <w:right w:val="outset" w:sz="6" w:space="0" w:color="auto"/>
            </w:tcBorders>
            <w:hideMark/>
          </w:tcPr>
          <w:p w14:paraId="0125547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5563D84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4EA49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0130</w:t>
            </w:r>
          </w:p>
        </w:tc>
        <w:tc>
          <w:tcPr>
            <w:tcW w:w="7468" w:type="dxa"/>
            <w:tcBorders>
              <w:top w:val="outset" w:sz="6" w:space="0" w:color="auto"/>
              <w:left w:val="outset" w:sz="6" w:space="0" w:color="auto"/>
              <w:bottom w:val="outset" w:sz="6" w:space="0" w:color="auto"/>
              <w:right w:val="outset" w:sz="6" w:space="0" w:color="auto"/>
            </w:tcBorders>
            <w:hideMark/>
          </w:tcPr>
          <w:p w14:paraId="3E0BE8F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Cuantumul noțional plafonat al instrumentelor financiare derivate de credit vândute</w:t>
            </w:r>
          </w:p>
        </w:tc>
        <w:tc>
          <w:tcPr>
            <w:tcW w:w="0" w:type="auto"/>
            <w:tcBorders>
              <w:top w:val="outset" w:sz="6" w:space="0" w:color="auto"/>
              <w:left w:val="outset" w:sz="6" w:space="0" w:color="auto"/>
              <w:bottom w:val="outset" w:sz="6" w:space="0" w:color="auto"/>
              <w:right w:val="outset" w:sz="6" w:space="0" w:color="auto"/>
            </w:tcBorders>
            <w:hideMark/>
          </w:tcPr>
          <w:p w14:paraId="69F41F5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2F0AE2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BE23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0140</w:t>
            </w:r>
          </w:p>
        </w:tc>
        <w:tc>
          <w:tcPr>
            <w:tcW w:w="7468" w:type="dxa"/>
            <w:tcBorders>
              <w:top w:val="outset" w:sz="6" w:space="0" w:color="auto"/>
              <w:left w:val="outset" w:sz="6" w:space="0" w:color="auto"/>
              <w:bottom w:val="outset" w:sz="6" w:space="0" w:color="auto"/>
              <w:right w:val="outset" w:sz="6" w:space="0" w:color="auto"/>
            </w:tcBorders>
            <w:hideMark/>
          </w:tcPr>
          <w:p w14:paraId="2FD174E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Deducerea instrumentelor financiare derivate de credit cumpărate eligibile din instrumentele financiare derivate de credit vândute</w:t>
            </w:r>
          </w:p>
        </w:tc>
        <w:tc>
          <w:tcPr>
            <w:tcW w:w="0" w:type="auto"/>
            <w:tcBorders>
              <w:top w:val="outset" w:sz="6" w:space="0" w:color="auto"/>
              <w:left w:val="outset" w:sz="6" w:space="0" w:color="auto"/>
              <w:bottom w:val="outset" w:sz="6" w:space="0" w:color="auto"/>
              <w:right w:val="outset" w:sz="6" w:space="0" w:color="auto"/>
            </w:tcBorders>
            <w:hideMark/>
          </w:tcPr>
          <w:p w14:paraId="117F7D2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5B62C62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55494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0150</w:t>
            </w:r>
          </w:p>
        </w:tc>
        <w:tc>
          <w:tcPr>
            <w:tcW w:w="7468" w:type="dxa"/>
            <w:tcBorders>
              <w:top w:val="outset" w:sz="6" w:space="0" w:color="auto"/>
              <w:left w:val="outset" w:sz="6" w:space="0" w:color="auto"/>
              <w:bottom w:val="outset" w:sz="6" w:space="0" w:color="auto"/>
              <w:right w:val="outset" w:sz="6" w:space="0" w:color="auto"/>
            </w:tcBorders>
            <w:hideMark/>
          </w:tcPr>
          <w:p w14:paraId="50EA384F" w14:textId="7ED82AAE"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extrabilanțiere cu un factor de conversie a creditului de 10 % în conformitate cu pct.</w:t>
            </w:r>
            <w:r w:rsidR="00FE1A9B" w:rsidRPr="000F57AA">
              <w:rPr>
                <w:rFonts w:ascii="Times New Roman" w:eastAsia="Times New Roman" w:hAnsi="Times New Roman" w:cs="Times New Roman"/>
                <w:color w:val="000000"/>
                <w:lang w:val="ro-RO" w:eastAsia="ro-MD"/>
              </w:rPr>
              <w:t>61-64</w:t>
            </w:r>
            <w:r w:rsidRPr="000F57AA">
              <w:rPr>
                <w:rFonts w:ascii="Times New Roman" w:eastAsia="Times New Roman" w:hAnsi="Times New Roman" w:cs="Times New Roman"/>
                <w:color w:val="000000"/>
                <w:lang w:val="ro-RO" w:eastAsia="ro-MD"/>
              </w:rPr>
              <w:t xml:space="preserve">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447F1C0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0E4286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59AEC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0160</w:t>
            </w:r>
          </w:p>
        </w:tc>
        <w:tc>
          <w:tcPr>
            <w:tcW w:w="7468" w:type="dxa"/>
            <w:tcBorders>
              <w:top w:val="outset" w:sz="6" w:space="0" w:color="auto"/>
              <w:left w:val="outset" w:sz="6" w:space="0" w:color="auto"/>
              <w:bottom w:val="outset" w:sz="6" w:space="0" w:color="auto"/>
              <w:right w:val="outset" w:sz="6" w:space="0" w:color="auto"/>
            </w:tcBorders>
            <w:hideMark/>
          </w:tcPr>
          <w:p w14:paraId="4693AB04" w14:textId="68AD697A"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extrabilanțiere cu un factor de conversie a creditului de 20 % în conformitate cu pct.</w:t>
            </w:r>
            <w:r w:rsidR="00FE1A9B" w:rsidRPr="000F57AA">
              <w:rPr>
                <w:lang w:val="ro-RO"/>
              </w:rPr>
              <w:t xml:space="preserve"> </w:t>
            </w:r>
            <w:r w:rsidR="00FE1A9B" w:rsidRPr="000F57AA">
              <w:rPr>
                <w:rFonts w:ascii="Times New Roman" w:eastAsia="Times New Roman" w:hAnsi="Times New Roman" w:cs="Times New Roman"/>
                <w:color w:val="000000"/>
                <w:lang w:val="ro-RO" w:eastAsia="ro-MD"/>
              </w:rPr>
              <w:t xml:space="preserve">61-64 </w:t>
            </w:r>
            <w:r w:rsidRPr="000F57AA">
              <w:rPr>
                <w:rFonts w:ascii="Times New Roman" w:eastAsia="Times New Roman" w:hAnsi="Times New Roman" w:cs="Times New Roman"/>
                <w:color w:val="000000"/>
                <w:lang w:val="ro-RO" w:eastAsia="ro-MD"/>
              </w:rPr>
              <w:t>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2A14894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62A656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F025E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0170</w:t>
            </w:r>
          </w:p>
        </w:tc>
        <w:tc>
          <w:tcPr>
            <w:tcW w:w="7468" w:type="dxa"/>
            <w:tcBorders>
              <w:top w:val="outset" w:sz="6" w:space="0" w:color="auto"/>
              <w:left w:val="outset" w:sz="6" w:space="0" w:color="auto"/>
              <w:bottom w:val="outset" w:sz="6" w:space="0" w:color="auto"/>
              <w:right w:val="outset" w:sz="6" w:space="0" w:color="auto"/>
            </w:tcBorders>
            <w:hideMark/>
          </w:tcPr>
          <w:p w14:paraId="46EA16CF" w14:textId="569C3AE1"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extrabilanțiere cu un factor de conversie a creditului de 50 % în conformitate cu pct.</w:t>
            </w:r>
            <w:r w:rsidR="00FE1A9B" w:rsidRPr="000F57AA">
              <w:rPr>
                <w:lang w:val="ro-RO"/>
              </w:rPr>
              <w:t xml:space="preserve"> </w:t>
            </w:r>
            <w:r w:rsidR="00FE1A9B" w:rsidRPr="000F57AA">
              <w:rPr>
                <w:rFonts w:ascii="Times New Roman" w:eastAsia="Times New Roman" w:hAnsi="Times New Roman" w:cs="Times New Roman"/>
                <w:color w:val="000000"/>
                <w:lang w:val="ro-RO" w:eastAsia="ro-MD"/>
              </w:rPr>
              <w:t xml:space="preserve">61-64 </w:t>
            </w:r>
            <w:r w:rsidRPr="000F57AA">
              <w:rPr>
                <w:rFonts w:ascii="Times New Roman" w:eastAsia="Times New Roman" w:hAnsi="Times New Roman" w:cs="Times New Roman"/>
                <w:color w:val="000000"/>
                <w:lang w:val="ro-RO" w:eastAsia="ro-MD"/>
              </w:rPr>
              <w:t>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1D79D69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9F2755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81E92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0180</w:t>
            </w:r>
          </w:p>
        </w:tc>
        <w:tc>
          <w:tcPr>
            <w:tcW w:w="7468" w:type="dxa"/>
            <w:tcBorders>
              <w:top w:val="outset" w:sz="6" w:space="0" w:color="auto"/>
              <w:left w:val="outset" w:sz="6" w:space="0" w:color="auto"/>
              <w:bottom w:val="outset" w:sz="6" w:space="0" w:color="auto"/>
              <w:right w:val="outset" w:sz="6" w:space="0" w:color="auto"/>
            </w:tcBorders>
            <w:hideMark/>
          </w:tcPr>
          <w:p w14:paraId="29D96B5C" w14:textId="0D8AB81C"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extrabilanțiere cu un factor de conversie a creditului de 100 % în conformitate cu pct.</w:t>
            </w:r>
            <w:r w:rsidR="00FE1A9B" w:rsidRPr="000F57AA">
              <w:rPr>
                <w:lang w:val="ro-RO"/>
              </w:rPr>
              <w:t xml:space="preserve"> </w:t>
            </w:r>
            <w:r w:rsidR="00FE1A9B" w:rsidRPr="000F57AA">
              <w:rPr>
                <w:rFonts w:ascii="Times New Roman" w:eastAsia="Times New Roman" w:hAnsi="Times New Roman" w:cs="Times New Roman"/>
                <w:color w:val="000000"/>
                <w:lang w:val="ro-RO" w:eastAsia="ro-MD"/>
              </w:rPr>
              <w:t xml:space="preserve">61-64 </w:t>
            </w:r>
            <w:r w:rsidRPr="000F57AA">
              <w:rPr>
                <w:rFonts w:ascii="Times New Roman" w:eastAsia="Times New Roman" w:hAnsi="Times New Roman" w:cs="Times New Roman"/>
                <w:color w:val="000000"/>
                <w:lang w:val="ro-RO" w:eastAsia="ro-MD"/>
              </w:rPr>
              <w:t>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14F8702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2F481AC"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58B30F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0181</w:t>
            </w:r>
          </w:p>
        </w:tc>
        <w:tc>
          <w:tcPr>
            <w:tcW w:w="7468" w:type="dxa"/>
            <w:tcBorders>
              <w:top w:val="outset" w:sz="6" w:space="0" w:color="auto"/>
              <w:left w:val="outset" w:sz="6" w:space="0" w:color="auto"/>
              <w:bottom w:val="outset" w:sz="6" w:space="0" w:color="auto"/>
              <w:right w:val="outset" w:sz="6" w:space="0" w:color="auto"/>
            </w:tcBorders>
            <w:hideMark/>
          </w:tcPr>
          <w:p w14:paraId="47E14DD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Ajustări generale pentru riscul de credit aferente elementelor extrabilanțiere</w:t>
            </w:r>
          </w:p>
        </w:tc>
        <w:tc>
          <w:tcPr>
            <w:tcW w:w="0" w:type="auto"/>
            <w:tcBorders>
              <w:top w:val="outset" w:sz="6" w:space="0" w:color="auto"/>
              <w:left w:val="outset" w:sz="6" w:space="0" w:color="auto"/>
              <w:bottom w:val="outset" w:sz="6" w:space="0" w:color="auto"/>
              <w:right w:val="outset" w:sz="6" w:space="0" w:color="auto"/>
            </w:tcBorders>
            <w:hideMark/>
          </w:tcPr>
          <w:p w14:paraId="2974051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49276C5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1F8B6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0185</w:t>
            </w:r>
          </w:p>
        </w:tc>
        <w:tc>
          <w:tcPr>
            <w:tcW w:w="7468" w:type="dxa"/>
            <w:tcBorders>
              <w:top w:val="outset" w:sz="6" w:space="0" w:color="auto"/>
              <w:left w:val="outset" w:sz="6" w:space="0" w:color="auto"/>
              <w:bottom w:val="outset" w:sz="6" w:space="0" w:color="auto"/>
              <w:right w:val="outset" w:sz="6" w:space="0" w:color="auto"/>
            </w:tcBorders>
            <w:hideMark/>
          </w:tcPr>
          <w:p w14:paraId="2A34128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Achizițiile și vânzările standard care urmează a fi decontate: valoarea contabilă conform principiului contabilizării la data tranzacționării</w:t>
            </w:r>
          </w:p>
        </w:tc>
        <w:tc>
          <w:tcPr>
            <w:tcW w:w="0" w:type="auto"/>
            <w:tcBorders>
              <w:top w:val="outset" w:sz="6" w:space="0" w:color="auto"/>
              <w:left w:val="outset" w:sz="6" w:space="0" w:color="auto"/>
              <w:bottom w:val="outset" w:sz="6" w:space="0" w:color="auto"/>
              <w:right w:val="outset" w:sz="6" w:space="0" w:color="auto"/>
            </w:tcBorders>
            <w:hideMark/>
          </w:tcPr>
          <w:p w14:paraId="2AB6FD7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5350FD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742DD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0186</w:t>
            </w:r>
          </w:p>
        </w:tc>
        <w:tc>
          <w:tcPr>
            <w:tcW w:w="7468" w:type="dxa"/>
            <w:tcBorders>
              <w:top w:val="outset" w:sz="6" w:space="0" w:color="auto"/>
              <w:left w:val="outset" w:sz="6" w:space="0" w:color="auto"/>
              <w:bottom w:val="outset" w:sz="6" w:space="0" w:color="auto"/>
              <w:right w:val="outset" w:sz="6" w:space="0" w:color="auto"/>
            </w:tcBorders>
            <w:hideMark/>
          </w:tcPr>
          <w:p w14:paraId="6C0F114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Vânzările standard care urmează a fi decontate: reluarea compensării contabile conform principiului contabilizării la data tranzacționării</w:t>
            </w:r>
          </w:p>
        </w:tc>
        <w:tc>
          <w:tcPr>
            <w:tcW w:w="0" w:type="auto"/>
            <w:tcBorders>
              <w:top w:val="outset" w:sz="6" w:space="0" w:color="auto"/>
              <w:left w:val="outset" w:sz="6" w:space="0" w:color="auto"/>
              <w:bottom w:val="outset" w:sz="6" w:space="0" w:color="auto"/>
              <w:right w:val="outset" w:sz="6" w:space="0" w:color="auto"/>
            </w:tcBorders>
            <w:hideMark/>
          </w:tcPr>
          <w:p w14:paraId="1915D26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2E8D785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AD3F7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0187</w:t>
            </w:r>
          </w:p>
        </w:tc>
        <w:tc>
          <w:tcPr>
            <w:tcW w:w="7468" w:type="dxa"/>
            <w:tcBorders>
              <w:top w:val="outset" w:sz="6" w:space="0" w:color="auto"/>
              <w:left w:val="outset" w:sz="6" w:space="0" w:color="auto"/>
              <w:bottom w:val="outset" w:sz="6" w:space="0" w:color="auto"/>
              <w:right w:val="outset" w:sz="6" w:space="0" w:color="auto"/>
            </w:tcBorders>
            <w:hideMark/>
          </w:tcPr>
          <w:p w14:paraId="0469617A" w14:textId="141483EC"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Vânzările standard care urmează a fi decontate: compensarea în conformitate cu pct.</w:t>
            </w:r>
            <w:r w:rsidR="00FE1A9B" w:rsidRPr="000F57AA">
              <w:rPr>
                <w:rFonts w:ascii="Times New Roman" w:eastAsia="Times New Roman" w:hAnsi="Times New Roman" w:cs="Times New Roman"/>
                <w:color w:val="000000"/>
                <w:lang w:val="ro-RO" w:eastAsia="ro-MD"/>
              </w:rPr>
              <w:t>66</w:t>
            </w:r>
            <w:r w:rsidRPr="000F57AA">
              <w:rPr>
                <w:rFonts w:ascii="Times New Roman" w:eastAsia="Times New Roman" w:hAnsi="Times New Roman" w:cs="Times New Roman"/>
                <w:color w:val="000000"/>
                <w:lang w:val="ro-RO" w:eastAsia="ro-MD"/>
              </w:rPr>
              <w:t xml:space="preserve">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59CD283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C6F97B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4F573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0188</w:t>
            </w:r>
          </w:p>
        </w:tc>
        <w:tc>
          <w:tcPr>
            <w:tcW w:w="7468" w:type="dxa"/>
            <w:tcBorders>
              <w:top w:val="outset" w:sz="6" w:space="0" w:color="auto"/>
              <w:left w:val="outset" w:sz="6" w:space="0" w:color="auto"/>
              <w:bottom w:val="outset" w:sz="6" w:space="0" w:color="auto"/>
              <w:right w:val="outset" w:sz="6" w:space="0" w:color="auto"/>
            </w:tcBorders>
            <w:hideMark/>
          </w:tcPr>
          <w:p w14:paraId="72D17AC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Achizițiile standard care urmează a fi decontate: recunoașterea totală a angajamentelor de plată conform principiului contabilizării la data decontării</w:t>
            </w:r>
          </w:p>
        </w:tc>
        <w:tc>
          <w:tcPr>
            <w:tcW w:w="0" w:type="auto"/>
            <w:tcBorders>
              <w:top w:val="outset" w:sz="6" w:space="0" w:color="auto"/>
              <w:left w:val="outset" w:sz="6" w:space="0" w:color="auto"/>
              <w:bottom w:val="outset" w:sz="6" w:space="0" w:color="auto"/>
              <w:right w:val="outset" w:sz="6" w:space="0" w:color="auto"/>
            </w:tcBorders>
            <w:hideMark/>
          </w:tcPr>
          <w:p w14:paraId="695FD4B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F52685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1B31C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0189</w:t>
            </w:r>
          </w:p>
        </w:tc>
        <w:tc>
          <w:tcPr>
            <w:tcW w:w="7468" w:type="dxa"/>
            <w:tcBorders>
              <w:top w:val="outset" w:sz="6" w:space="0" w:color="auto"/>
              <w:left w:val="outset" w:sz="6" w:space="0" w:color="auto"/>
              <w:bottom w:val="outset" w:sz="6" w:space="0" w:color="auto"/>
              <w:right w:val="outset" w:sz="6" w:space="0" w:color="auto"/>
            </w:tcBorders>
            <w:hideMark/>
          </w:tcPr>
          <w:p w14:paraId="2E5155EB" w14:textId="575EB88C"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Achizițiile standard care urmează a fi decontate: compensarea cu angajamentele de plată conform principiului contabilizării la data decontării în conformitate cu pct.</w:t>
            </w:r>
            <w:r w:rsidR="00FE1A9B" w:rsidRPr="000F57AA">
              <w:rPr>
                <w:rFonts w:ascii="Times New Roman" w:eastAsia="Times New Roman" w:hAnsi="Times New Roman" w:cs="Times New Roman"/>
                <w:color w:val="000000"/>
                <w:lang w:val="ro-RO" w:eastAsia="ro-MD"/>
              </w:rPr>
              <w:t>67-68</w:t>
            </w:r>
            <w:r w:rsidRPr="000F57AA">
              <w:rPr>
                <w:rFonts w:ascii="Times New Roman" w:eastAsia="Times New Roman" w:hAnsi="Times New Roman" w:cs="Times New Roman"/>
                <w:color w:val="000000"/>
                <w:lang w:val="ro-RO" w:eastAsia="ro-MD"/>
              </w:rPr>
              <w:t xml:space="preserve">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0159DBD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41C1EDFB"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79D12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0190</w:t>
            </w:r>
          </w:p>
        </w:tc>
        <w:tc>
          <w:tcPr>
            <w:tcW w:w="7468" w:type="dxa"/>
            <w:tcBorders>
              <w:top w:val="outset" w:sz="6" w:space="0" w:color="auto"/>
              <w:left w:val="outset" w:sz="6" w:space="0" w:color="auto"/>
              <w:bottom w:val="outset" w:sz="6" w:space="0" w:color="auto"/>
              <w:right w:val="outset" w:sz="6" w:space="0" w:color="auto"/>
            </w:tcBorders>
            <w:hideMark/>
          </w:tcPr>
          <w:p w14:paraId="2758F09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Alte active</w:t>
            </w:r>
          </w:p>
        </w:tc>
        <w:tc>
          <w:tcPr>
            <w:tcW w:w="0" w:type="auto"/>
            <w:tcBorders>
              <w:top w:val="outset" w:sz="6" w:space="0" w:color="auto"/>
              <w:left w:val="outset" w:sz="6" w:space="0" w:color="auto"/>
              <w:bottom w:val="outset" w:sz="6" w:space="0" w:color="auto"/>
              <w:right w:val="outset" w:sz="6" w:space="0" w:color="auto"/>
            </w:tcBorders>
            <w:hideMark/>
          </w:tcPr>
          <w:p w14:paraId="1A120E7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441BC7D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D38E9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0191</w:t>
            </w:r>
          </w:p>
        </w:tc>
        <w:tc>
          <w:tcPr>
            <w:tcW w:w="7468" w:type="dxa"/>
            <w:tcBorders>
              <w:top w:val="outset" w:sz="6" w:space="0" w:color="auto"/>
              <w:left w:val="outset" w:sz="6" w:space="0" w:color="auto"/>
              <w:bottom w:val="outset" w:sz="6" w:space="0" w:color="auto"/>
              <w:right w:val="outset" w:sz="6" w:space="0" w:color="auto"/>
            </w:tcBorders>
            <w:hideMark/>
          </w:tcPr>
          <w:p w14:paraId="1A126A5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Ajustări generale pentru riscul de credit aferente elementelor bilanțiere</w:t>
            </w:r>
          </w:p>
        </w:tc>
        <w:tc>
          <w:tcPr>
            <w:tcW w:w="0" w:type="auto"/>
            <w:tcBorders>
              <w:top w:val="outset" w:sz="6" w:space="0" w:color="auto"/>
              <w:left w:val="outset" w:sz="6" w:space="0" w:color="auto"/>
              <w:bottom w:val="outset" w:sz="6" w:space="0" w:color="auto"/>
              <w:right w:val="outset" w:sz="6" w:space="0" w:color="auto"/>
            </w:tcBorders>
            <w:hideMark/>
          </w:tcPr>
          <w:p w14:paraId="4F8533A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6E95E23A"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CF519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0193</w:t>
            </w:r>
          </w:p>
        </w:tc>
        <w:tc>
          <w:tcPr>
            <w:tcW w:w="7468" w:type="dxa"/>
            <w:tcBorders>
              <w:top w:val="outset" w:sz="6" w:space="0" w:color="auto"/>
              <w:left w:val="outset" w:sz="6" w:space="0" w:color="auto"/>
              <w:bottom w:val="outset" w:sz="6" w:space="0" w:color="auto"/>
              <w:right w:val="outset" w:sz="6" w:space="0" w:color="auto"/>
            </w:tcBorders>
            <w:hideMark/>
          </w:tcPr>
          <w:p w14:paraId="4479BB5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Acordurile de tipul „cash pooling” care nu pot fi compensate prudențial: valoarea conform cadrului contabil</w:t>
            </w:r>
          </w:p>
        </w:tc>
        <w:tc>
          <w:tcPr>
            <w:tcW w:w="0" w:type="auto"/>
            <w:tcBorders>
              <w:top w:val="outset" w:sz="6" w:space="0" w:color="auto"/>
              <w:left w:val="outset" w:sz="6" w:space="0" w:color="auto"/>
              <w:bottom w:val="outset" w:sz="6" w:space="0" w:color="auto"/>
              <w:right w:val="outset" w:sz="6" w:space="0" w:color="auto"/>
            </w:tcBorders>
            <w:hideMark/>
          </w:tcPr>
          <w:p w14:paraId="0D14B5F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362599F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14C3E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0194</w:t>
            </w:r>
          </w:p>
        </w:tc>
        <w:tc>
          <w:tcPr>
            <w:tcW w:w="7468" w:type="dxa"/>
            <w:tcBorders>
              <w:top w:val="outset" w:sz="6" w:space="0" w:color="auto"/>
              <w:left w:val="outset" w:sz="6" w:space="0" w:color="auto"/>
              <w:bottom w:val="outset" w:sz="6" w:space="0" w:color="auto"/>
              <w:right w:val="outset" w:sz="6" w:space="0" w:color="auto"/>
            </w:tcBorders>
            <w:hideMark/>
          </w:tcPr>
          <w:p w14:paraId="42AD5AD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Acordurile de tipul „cash pooling” care nu pot fi compensate prudențial: efectul transformării în valoare brută a compensării aplicate în cadrul contabil</w:t>
            </w:r>
          </w:p>
        </w:tc>
        <w:tc>
          <w:tcPr>
            <w:tcW w:w="0" w:type="auto"/>
            <w:tcBorders>
              <w:top w:val="outset" w:sz="6" w:space="0" w:color="auto"/>
              <w:left w:val="outset" w:sz="6" w:space="0" w:color="auto"/>
              <w:bottom w:val="outset" w:sz="6" w:space="0" w:color="auto"/>
              <w:right w:val="outset" w:sz="6" w:space="0" w:color="auto"/>
            </w:tcBorders>
            <w:hideMark/>
          </w:tcPr>
          <w:p w14:paraId="0F832B6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717401D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B914AE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0195</w:t>
            </w:r>
          </w:p>
        </w:tc>
        <w:tc>
          <w:tcPr>
            <w:tcW w:w="7468" w:type="dxa"/>
            <w:tcBorders>
              <w:top w:val="outset" w:sz="6" w:space="0" w:color="auto"/>
              <w:left w:val="outset" w:sz="6" w:space="0" w:color="auto"/>
              <w:bottom w:val="outset" w:sz="6" w:space="0" w:color="auto"/>
              <w:right w:val="outset" w:sz="6" w:space="0" w:color="auto"/>
            </w:tcBorders>
            <w:hideMark/>
          </w:tcPr>
          <w:p w14:paraId="6FF2C75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Acordurile de tipul „cash pooling” care pot fi compensate prudențial: valoarea conform cadrului contabil</w:t>
            </w:r>
          </w:p>
        </w:tc>
        <w:tc>
          <w:tcPr>
            <w:tcW w:w="0" w:type="auto"/>
            <w:tcBorders>
              <w:top w:val="outset" w:sz="6" w:space="0" w:color="auto"/>
              <w:left w:val="outset" w:sz="6" w:space="0" w:color="auto"/>
              <w:bottom w:val="outset" w:sz="6" w:space="0" w:color="auto"/>
              <w:right w:val="outset" w:sz="6" w:space="0" w:color="auto"/>
            </w:tcBorders>
            <w:hideMark/>
          </w:tcPr>
          <w:p w14:paraId="4FD675D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5789229"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77603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0196</w:t>
            </w:r>
          </w:p>
        </w:tc>
        <w:tc>
          <w:tcPr>
            <w:tcW w:w="7468" w:type="dxa"/>
            <w:tcBorders>
              <w:top w:val="outset" w:sz="6" w:space="0" w:color="auto"/>
              <w:left w:val="outset" w:sz="6" w:space="0" w:color="auto"/>
              <w:bottom w:val="outset" w:sz="6" w:space="0" w:color="auto"/>
              <w:right w:val="outset" w:sz="6" w:space="0" w:color="auto"/>
            </w:tcBorders>
            <w:hideMark/>
          </w:tcPr>
          <w:p w14:paraId="20B1C53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Acordurile de tipul „cash pooling” care pot fi compensate prudențial: efectul transformării în valoare brută a compensării aplicate în cadrul contabil</w:t>
            </w:r>
          </w:p>
        </w:tc>
        <w:tc>
          <w:tcPr>
            <w:tcW w:w="0" w:type="auto"/>
            <w:tcBorders>
              <w:top w:val="outset" w:sz="6" w:space="0" w:color="auto"/>
              <w:left w:val="outset" w:sz="6" w:space="0" w:color="auto"/>
              <w:bottom w:val="outset" w:sz="6" w:space="0" w:color="auto"/>
              <w:right w:val="outset" w:sz="6" w:space="0" w:color="auto"/>
            </w:tcBorders>
            <w:hideMark/>
          </w:tcPr>
          <w:p w14:paraId="5EE7962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F1263DC"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8C24F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0197</w:t>
            </w:r>
          </w:p>
        </w:tc>
        <w:tc>
          <w:tcPr>
            <w:tcW w:w="7468" w:type="dxa"/>
            <w:tcBorders>
              <w:top w:val="outset" w:sz="6" w:space="0" w:color="auto"/>
              <w:left w:val="outset" w:sz="6" w:space="0" w:color="auto"/>
              <w:bottom w:val="outset" w:sz="6" w:space="0" w:color="auto"/>
              <w:right w:val="outset" w:sz="6" w:space="0" w:color="auto"/>
            </w:tcBorders>
            <w:hideMark/>
          </w:tcPr>
          <w:p w14:paraId="7473953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Acordurile de tipul „cash pooling” care pot fi compensate prudențial: recunoașterea compensării în conformitate cu pct.25-26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1130254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3B05F33A"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8DFE0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0198</w:t>
            </w:r>
          </w:p>
        </w:tc>
        <w:tc>
          <w:tcPr>
            <w:tcW w:w="7468" w:type="dxa"/>
            <w:tcBorders>
              <w:top w:val="outset" w:sz="6" w:space="0" w:color="auto"/>
              <w:left w:val="outset" w:sz="6" w:space="0" w:color="auto"/>
              <w:bottom w:val="outset" w:sz="6" w:space="0" w:color="auto"/>
              <w:right w:val="outset" w:sz="6" w:space="0" w:color="auto"/>
            </w:tcBorders>
            <w:hideMark/>
          </w:tcPr>
          <w:p w14:paraId="055776B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Acordurile de tipul „cash pooling” care pot fi compensate prudențial: recunoașterea compensării în conformitate cu pct.27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0771FD1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51ED9F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50DC8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0200</w:t>
            </w:r>
          </w:p>
        </w:tc>
        <w:tc>
          <w:tcPr>
            <w:tcW w:w="7468" w:type="dxa"/>
            <w:tcBorders>
              <w:top w:val="outset" w:sz="6" w:space="0" w:color="auto"/>
              <w:left w:val="outset" w:sz="6" w:space="0" w:color="auto"/>
              <w:bottom w:val="outset" w:sz="6" w:space="0" w:color="auto"/>
              <w:right w:val="outset" w:sz="6" w:space="0" w:color="auto"/>
            </w:tcBorders>
            <w:hideMark/>
          </w:tcPr>
          <w:p w14:paraId="2F29D6F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Transformarea în valoare brută pentru garanțiile reale oferite pentru instrumentele financiare derivate</w:t>
            </w:r>
          </w:p>
        </w:tc>
        <w:tc>
          <w:tcPr>
            <w:tcW w:w="0" w:type="auto"/>
            <w:tcBorders>
              <w:top w:val="outset" w:sz="6" w:space="0" w:color="auto"/>
              <w:left w:val="outset" w:sz="6" w:space="0" w:color="auto"/>
              <w:bottom w:val="outset" w:sz="6" w:space="0" w:color="auto"/>
              <w:right w:val="outset" w:sz="6" w:space="0" w:color="auto"/>
            </w:tcBorders>
            <w:hideMark/>
          </w:tcPr>
          <w:p w14:paraId="73281E4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462897B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9BE37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0210</w:t>
            </w:r>
          </w:p>
        </w:tc>
        <w:tc>
          <w:tcPr>
            <w:tcW w:w="7468" w:type="dxa"/>
            <w:tcBorders>
              <w:top w:val="outset" w:sz="6" w:space="0" w:color="auto"/>
              <w:left w:val="outset" w:sz="6" w:space="0" w:color="auto"/>
              <w:bottom w:val="outset" w:sz="6" w:space="0" w:color="auto"/>
              <w:right w:val="outset" w:sz="6" w:space="0" w:color="auto"/>
            </w:tcBorders>
            <w:hideMark/>
          </w:tcPr>
          <w:p w14:paraId="5672422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Creanțe pentru marja de variație în numerar furnizate în operațiunile cu instrumente financiare derivate</w:t>
            </w:r>
          </w:p>
        </w:tc>
        <w:tc>
          <w:tcPr>
            <w:tcW w:w="0" w:type="auto"/>
            <w:tcBorders>
              <w:top w:val="outset" w:sz="6" w:space="0" w:color="auto"/>
              <w:left w:val="outset" w:sz="6" w:space="0" w:color="auto"/>
              <w:bottom w:val="outset" w:sz="6" w:space="0" w:color="auto"/>
              <w:right w:val="outset" w:sz="6" w:space="0" w:color="auto"/>
            </w:tcBorders>
            <w:hideMark/>
          </w:tcPr>
          <w:p w14:paraId="786141D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5E0C002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5259E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0220</w:t>
            </w:r>
          </w:p>
        </w:tc>
        <w:tc>
          <w:tcPr>
            <w:tcW w:w="7468" w:type="dxa"/>
            <w:tcBorders>
              <w:top w:val="outset" w:sz="6" w:space="0" w:color="auto"/>
              <w:left w:val="outset" w:sz="6" w:space="0" w:color="auto"/>
              <w:bottom w:val="outset" w:sz="6" w:space="0" w:color="auto"/>
              <w:right w:val="outset" w:sz="6" w:space="0" w:color="auto"/>
            </w:tcBorders>
            <w:hideMark/>
          </w:tcPr>
          <w:p w14:paraId="58507CE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Segmentul CPC exclus din expunerile aferente tranzacțiilor compensate pentru clienți (marjă inițială)</w:t>
            </w:r>
          </w:p>
        </w:tc>
        <w:tc>
          <w:tcPr>
            <w:tcW w:w="0" w:type="auto"/>
            <w:tcBorders>
              <w:top w:val="outset" w:sz="6" w:space="0" w:color="auto"/>
              <w:left w:val="outset" w:sz="6" w:space="0" w:color="auto"/>
              <w:bottom w:val="outset" w:sz="6" w:space="0" w:color="auto"/>
              <w:right w:val="outset" w:sz="6" w:space="0" w:color="auto"/>
            </w:tcBorders>
            <w:hideMark/>
          </w:tcPr>
          <w:p w14:paraId="22D4F01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E56525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6E581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0230</w:t>
            </w:r>
          </w:p>
        </w:tc>
        <w:tc>
          <w:tcPr>
            <w:tcW w:w="7468" w:type="dxa"/>
            <w:tcBorders>
              <w:top w:val="outset" w:sz="6" w:space="0" w:color="auto"/>
              <w:left w:val="outset" w:sz="6" w:space="0" w:color="auto"/>
              <w:bottom w:val="outset" w:sz="6" w:space="0" w:color="auto"/>
              <w:right w:val="outset" w:sz="6" w:space="0" w:color="auto"/>
            </w:tcBorders>
            <w:hideMark/>
          </w:tcPr>
          <w:p w14:paraId="5D36639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Ajustări pentru tranzacțiile contabilizate ca vânzări de SFT-uri</w:t>
            </w:r>
          </w:p>
        </w:tc>
        <w:tc>
          <w:tcPr>
            <w:tcW w:w="0" w:type="auto"/>
            <w:tcBorders>
              <w:top w:val="outset" w:sz="6" w:space="0" w:color="auto"/>
              <w:left w:val="outset" w:sz="6" w:space="0" w:color="auto"/>
              <w:bottom w:val="outset" w:sz="6" w:space="0" w:color="auto"/>
              <w:right w:val="outset" w:sz="6" w:space="0" w:color="auto"/>
            </w:tcBorders>
            <w:hideMark/>
          </w:tcPr>
          <w:p w14:paraId="0A976DA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04BF473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A0E58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0235</w:t>
            </w:r>
          </w:p>
        </w:tc>
        <w:tc>
          <w:tcPr>
            <w:tcW w:w="7468" w:type="dxa"/>
            <w:tcBorders>
              <w:top w:val="outset" w:sz="6" w:space="0" w:color="auto"/>
              <w:left w:val="outset" w:sz="6" w:space="0" w:color="auto"/>
              <w:bottom w:val="outset" w:sz="6" w:space="0" w:color="auto"/>
              <w:right w:val="outset" w:sz="6" w:space="0" w:color="auto"/>
            </w:tcBorders>
            <w:hideMark/>
          </w:tcPr>
          <w:p w14:paraId="3792993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Reducerea valorii expunerii împrumuturilor de prefinanțare sau a împrumuturilor intermediare</w:t>
            </w:r>
          </w:p>
        </w:tc>
        <w:tc>
          <w:tcPr>
            <w:tcW w:w="0" w:type="auto"/>
            <w:tcBorders>
              <w:top w:val="outset" w:sz="6" w:space="0" w:color="auto"/>
              <w:left w:val="outset" w:sz="6" w:space="0" w:color="auto"/>
              <w:bottom w:val="outset" w:sz="6" w:space="0" w:color="auto"/>
              <w:right w:val="outset" w:sz="6" w:space="0" w:color="auto"/>
            </w:tcBorders>
            <w:hideMark/>
          </w:tcPr>
          <w:p w14:paraId="0E0C30F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7090DE8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1B56B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0240</w:t>
            </w:r>
          </w:p>
        </w:tc>
        <w:tc>
          <w:tcPr>
            <w:tcW w:w="7468" w:type="dxa"/>
            <w:tcBorders>
              <w:top w:val="outset" w:sz="6" w:space="0" w:color="auto"/>
              <w:left w:val="outset" w:sz="6" w:space="0" w:color="auto"/>
              <w:bottom w:val="outset" w:sz="6" w:space="0" w:color="auto"/>
              <w:right w:val="outset" w:sz="6" w:space="0" w:color="auto"/>
            </w:tcBorders>
            <w:hideMark/>
          </w:tcPr>
          <w:p w14:paraId="68DA15C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Active fiduciare</w:t>
            </w:r>
          </w:p>
        </w:tc>
        <w:tc>
          <w:tcPr>
            <w:tcW w:w="0" w:type="auto"/>
            <w:tcBorders>
              <w:top w:val="outset" w:sz="6" w:space="0" w:color="auto"/>
              <w:left w:val="outset" w:sz="6" w:space="0" w:color="auto"/>
              <w:bottom w:val="outset" w:sz="6" w:space="0" w:color="auto"/>
              <w:right w:val="outset" w:sz="6" w:space="0" w:color="auto"/>
            </w:tcBorders>
            <w:hideMark/>
          </w:tcPr>
          <w:p w14:paraId="11832E3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50FDE5C8"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5C62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0250</w:t>
            </w:r>
          </w:p>
        </w:tc>
        <w:tc>
          <w:tcPr>
            <w:tcW w:w="7468" w:type="dxa"/>
            <w:tcBorders>
              <w:top w:val="outset" w:sz="6" w:space="0" w:color="auto"/>
              <w:left w:val="outset" w:sz="6" w:space="0" w:color="auto"/>
              <w:bottom w:val="outset" w:sz="6" w:space="0" w:color="auto"/>
              <w:right w:val="outset" w:sz="6" w:space="0" w:color="auto"/>
            </w:tcBorders>
            <w:hideMark/>
          </w:tcPr>
          <w:p w14:paraId="587E6E7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Expuneri intragrup (pe bază individuală) excluse în conformitate cu subpct.19.2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05600DC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0CE90A0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651CF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bookmarkStart w:id="6" w:name="_Hlk197425246"/>
            <w:r w:rsidRPr="000F57AA">
              <w:rPr>
                <w:rFonts w:ascii="Times New Roman" w:eastAsia="Times New Roman" w:hAnsi="Times New Roman" w:cs="Times New Roman"/>
                <w:color w:val="000000"/>
                <w:lang w:val="ro-RO" w:eastAsia="ro-MD"/>
              </w:rPr>
              <w:t>0251</w:t>
            </w:r>
          </w:p>
        </w:tc>
        <w:tc>
          <w:tcPr>
            <w:tcW w:w="7468" w:type="dxa"/>
            <w:tcBorders>
              <w:top w:val="outset" w:sz="6" w:space="0" w:color="auto"/>
              <w:left w:val="outset" w:sz="6" w:space="0" w:color="auto"/>
              <w:bottom w:val="outset" w:sz="6" w:space="0" w:color="auto"/>
              <w:right w:val="outset" w:sz="6" w:space="0" w:color="auto"/>
            </w:tcBorders>
            <w:hideMark/>
          </w:tcPr>
          <w:p w14:paraId="3D1544D7" w14:textId="19F051D6"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din cadrul unui sistem instituțional de protecție excluse </w:t>
            </w:r>
          </w:p>
        </w:tc>
        <w:tc>
          <w:tcPr>
            <w:tcW w:w="0" w:type="auto"/>
            <w:tcBorders>
              <w:top w:val="outset" w:sz="6" w:space="0" w:color="auto"/>
              <w:left w:val="outset" w:sz="6" w:space="0" w:color="auto"/>
              <w:bottom w:val="outset" w:sz="6" w:space="0" w:color="auto"/>
              <w:right w:val="outset" w:sz="6" w:space="0" w:color="auto"/>
            </w:tcBorders>
            <w:hideMark/>
          </w:tcPr>
          <w:p w14:paraId="73FEB16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bookmarkEnd w:id="6"/>
      <w:tr w:rsidR="00D9298D" w:rsidRPr="000F57AA" w14:paraId="589F51A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324BD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0252</w:t>
            </w:r>
          </w:p>
        </w:tc>
        <w:tc>
          <w:tcPr>
            <w:tcW w:w="7468" w:type="dxa"/>
            <w:tcBorders>
              <w:top w:val="outset" w:sz="6" w:space="0" w:color="auto"/>
              <w:left w:val="outset" w:sz="6" w:space="0" w:color="auto"/>
              <w:bottom w:val="outset" w:sz="6" w:space="0" w:color="auto"/>
              <w:right w:val="outset" w:sz="6" w:space="0" w:color="auto"/>
            </w:tcBorders>
            <w:hideMark/>
          </w:tcPr>
          <w:p w14:paraId="1B9451C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Părțile garantate excluse ale expunerilor care decurg din credite de export</w:t>
            </w:r>
          </w:p>
        </w:tc>
        <w:tc>
          <w:tcPr>
            <w:tcW w:w="0" w:type="auto"/>
            <w:tcBorders>
              <w:top w:val="outset" w:sz="6" w:space="0" w:color="auto"/>
              <w:left w:val="outset" w:sz="6" w:space="0" w:color="auto"/>
              <w:bottom w:val="outset" w:sz="6" w:space="0" w:color="auto"/>
              <w:right w:val="outset" w:sz="6" w:space="0" w:color="auto"/>
            </w:tcBorders>
            <w:hideMark/>
          </w:tcPr>
          <w:p w14:paraId="2411C42A" w14:textId="5EE0FA92"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p>
        </w:tc>
      </w:tr>
      <w:tr w:rsidR="00D9298D" w:rsidRPr="00A05A6A" w14:paraId="0EB7915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0D528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0253</w:t>
            </w:r>
          </w:p>
        </w:tc>
        <w:tc>
          <w:tcPr>
            <w:tcW w:w="7468" w:type="dxa"/>
            <w:tcBorders>
              <w:top w:val="outset" w:sz="6" w:space="0" w:color="auto"/>
              <w:left w:val="outset" w:sz="6" w:space="0" w:color="auto"/>
              <w:bottom w:val="outset" w:sz="6" w:space="0" w:color="auto"/>
              <w:right w:val="outset" w:sz="6" w:space="0" w:color="auto"/>
            </w:tcBorders>
            <w:hideMark/>
          </w:tcPr>
          <w:p w14:paraId="6125035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Garanțiile reale excedentare depuse la agenți tripartiți excluse</w:t>
            </w:r>
          </w:p>
        </w:tc>
        <w:tc>
          <w:tcPr>
            <w:tcW w:w="0" w:type="auto"/>
            <w:tcBorders>
              <w:top w:val="outset" w:sz="6" w:space="0" w:color="auto"/>
              <w:left w:val="outset" w:sz="6" w:space="0" w:color="auto"/>
              <w:bottom w:val="outset" w:sz="6" w:space="0" w:color="auto"/>
              <w:right w:val="outset" w:sz="6" w:space="0" w:color="auto"/>
            </w:tcBorders>
            <w:hideMark/>
          </w:tcPr>
          <w:p w14:paraId="63FD7D2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42FF8D0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4EC13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0254</w:t>
            </w:r>
          </w:p>
        </w:tc>
        <w:tc>
          <w:tcPr>
            <w:tcW w:w="7468" w:type="dxa"/>
            <w:tcBorders>
              <w:top w:val="outset" w:sz="6" w:space="0" w:color="auto"/>
              <w:left w:val="outset" w:sz="6" w:space="0" w:color="auto"/>
              <w:bottom w:val="outset" w:sz="6" w:space="0" w:color="auto"/>
              <w:right w:val="outset" w:sz="6" w:space="0" w:color="auto"/>
            </w:tcBorders>
            <w:hideMark/>
          </w:tcPr>
          <w:p w14:paraId="6F565CC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Expuneri securitizate care reprezintă un transferul semnificativ al riscului excluse</w:t>
            </w:r>
          </w:p>
        </w:tc>
        <w:tc>
          <w:tcPr>
            <w:tcW w:w="0" w:type="auto"/>
            <w:tcBorders>
              <w:top w:val="outset" w:sz="6" w:space="0" w:color="auto"/>
              <w:left w:val="outset" w:sz="6" w:space="0" w:color="auto"/>
              <w:bottom w:val="outset" w:sz="6" w:space="0" w:color="auto"/>
              <w:right w:val="outset" w:sz="6" w:space="0" w:color="auto"/>
            </w:tcBorders>
            <w:hideMark/>
          </w:tcPr>
          <w:p w14:paraId="5F3302C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A05A6A" w14:paraId="1B4CAAD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D2FAF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0255</w:t>
            </w:r>
          </w:p>
        </w:tc>
        <w:tc>
          <w:tcPr>
            <w:tcW w:w="7468" w:type="dxa"/>
            <w:tcBorders>
              <w:top w:val="outset" w:sz="6" w:space="0" w:color="auto"/>
              <w:left w:val="outset" w:sz="6" w:space="0" w:color="auto"/>
              <w:bottom w:val="outset" w:sz="6" w:space="0" w:color="auto"/>
              <w:right w:val="outset" w:sz="6" w:space="0" w:color="auto"/>
            </w:tcBorders>
            <w:hideMark/>
          </w:tcPr>
          <w:p w14:paraId="18F3E939" w14:textId="77F9A334"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Expuneri față de banca centrală excluse în conformitate cu subpct.19.</w:t>
            </w:r>
            <w:r w:rsidR="00FE1A6B" w:rsidRPr="000F57AA">
              <w:rPr>
                <w:rFonts w:ascii="Times New Roman" w:eastAsia="Times New Roman" w:hAnsi="Times New Roman" w:cs="Times New Roman"/>
                <w:color w:val="000000"/>
                <w:lang w:val="ro-RO" w:eastAsia="ro-MD"/>
              </w:rPr>
              <w:t>10</w:t>
            </w:r>
            <w:r w:rsidRPr="000F57AA">
              <w:rPr>
                <w:rFonts w:ascii="Times New Roman" w:eastAsia="Times New Roman" w:hAnsi="Times New Roman" w:cs="Times New Roman"/>
                <w:color w:val="000000"/>
                <w:lang w:val="ro-RO" w:eastAsia="ro-MD"/>
              </w:rPr>
              <w:t xml:space="preserve">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6046E85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6A54D40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422A3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0256</w:t>
            </w:r>
          </w:p>
        </w:tc>
        <w:tc>
          <w:tcPr>
            <w:tcW w:w="7468" w:type="dxa"/>
            <w:tcBorders>
              <w:top w:val="outset" w:sz="6" w:space="0" w:color="auto"/>
              <w:left w:val="outset" w:sz="6" w:space="0" w:color="auto"/>
              <w:bottom w:val="outset" w:sz="6" w:space="0" w:color="auto"/>
              <w:right w:val="outset" w:sz="6" w:space="0" w:color="auto"/>
            </w:tcBorders>
            <w:hideMark/>
          </w:tcPr>
          <w:p w14:paraId="705B0182" w14:textId="3C330BBF"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Servicii auxiliare de tip bancar ale CSD/</w:t>
            </w:r>
            <w:r w:rsidR="00835E8E" w:rsidRPr="000F57AA">
              <w:rPr>
                <w:rFonts w:ascii="Times New Roman" w:eastAsia="Times New Roman" w:hAnsi="Times New Roman" w:cs="Times New Roman"/>
                <w:color w:val="000000"/>
                <w:lang w:val="ro-RO" w:eastAsia="ro-MD"/>
              </w:rPr>
              <w:t>băncilor</w:t>
            </w:r>
            <w:r w:rsidRPr="000F57AA">
              <w:rPr>
                <w:rFonts w:ascii="Times New Roman" w:eastAsia="Times New Roman" w:hAnsi="Times New Roman" w:cs="Times New Roman"/>
                <w:color w:val="000000"/>
                <w:lang w:val="ro-RO" w:eastAsia="ro-MD"/>
              </w:rPr>
              <w:t xml:space="preserve">, excluse </w:t>
            </w:r>
          </w:p>
        </w:tc>
        <w:tc>
          <w:tcPr>
            <w:tcW w:w="0" w:type="auto"/>
            <w:tcBorders>
              <w:top w:val="outset" w:sz="6" w:space="0" w:color="auto"/>
              <w:left w:val="outset" w:sz="6" w:space="0" w:color="auto"/>
              <w:bottom w:val="outset" w:sz="6" w:space="0" w:color="auto"/>
              <w:right w:val="outset" w:sz="6" w:space="0" w:color="auto"/>
            </w:tcBorders>
            <w:hideMark/>
          </w:tcPr>
          <w:p w14:paraId="6E55BD8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126E97B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58329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0257</w:t>
            </w:r>
          </w:p>
        </w:tc>
        <w:tc>
          <w:tcPr>
            <w:tcW w:w="7468" w:type="dxa"/>
            <w:tcBorders>
              <w:top w:val="outset" w:sz="6" w:space="0" w:color="auto"/>
              <w:left w:val="outset" w:sz="6" w:space="0" w:color="auto"/>
              <w:bottom w:val="outset" w:sz="6" w:space="0" w:color="auto"/>
              <w:right w:val="outset" w:sz="6" w:space="0" w:color="auto"/>
            </w:tcBorders>
            <w:hideMark/>
          </w:tcPr>
          <w:p w14:paraId="7998CCD3" w14:textId="58A815B4"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Servicii auxiliare de tip bancar ale </w:t>
            </w:r>
            <w:r w:rsidR="00816B98" w:rsidRPr="000F57AA">
              <w:rPr>
                <w:rFonts w:ascii="Times New Roman" w:eastAsia="Times New Roman" w:hAnsi="Times New Roman" w:cs="Times New Roman"/>
                <w:color w:val="000000"/>
                <w:lang w:val="ro-RO" w:eastAsia="ro-MD"/>
              </w:rPr>
              <w:t xml:space="preserve">băncilor </w:t>
            </w:r>
            <w:r w:rsidRPr="000F57AA">
              <w:rPr>
                <w:rFonts w:ascii="Times New Roman" w:eastAsia="Times New Roman" w:hAnsi="Times New Roman" w:cs="Times New Roman"/>
                <w:color w:val="000000"/>
                <w:lang w:val="ro-RO" w:eastAsia="ro-MD"/>
              </w:rPr>
              <w:t xml:space="preserve">desemnate, excluse </w:t>
            </w:r>
          </w:p>
        </w:tc>
        <w:tc>
          <w:tcPr>
            <w:tcW w:w="0" w:type="auto"/>
            <w:tcBorders>
              <w:top w:val="outset" w:sz="6" w:space="0" w:color="auto"/>
              <w:left w:val="outset" w:sz="6" w:space="0" w:color="auto"/>
              <w:bottom w:val="outset" w:sz="6" w:space="0" w:color="auto"/>
              <w:right w:val="outset" w:sz="6" w:space="0" w:color="auto"/>
            </w:tcBorders>
            <w:hideMark/>
          </w:tcPr>
          <w:p w14:paraId="75F6A6E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2F85683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BECAD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0260</w:t>
            </w:r>
          </w:p>
        </w:tc>
        <w:tc>
          <w:tcPr>
            <w:tcW w:w="7468" w:type="dxa"/>
            <w:tcBorders>
              <w:top w:val="outset" w:sz="6" w:space="0" w:color="auto"/>
              <w:left w:val="outset" w:sz="6" w:space="0" w:color="auto"/>
              <w:bottom w:val="outset" w:sz="6" w:space="0" w:color="auto"/>
              <w:right w:val="outset" w:sz="6" w:space="0" w:color="auto"/>
            </w:tcBorders>
            <w:hideMark/>
          </w:tcPr>
          <w:p w14:paraId="2D78EDB4" w14:textId="3EF6FEDF"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Expuneri excluse în conformitate cu subpct.19.</w:t>
            </w:r>
            <w:r w:rsidR="00FE1A6B" w:rsidRPr="000F57AA">
              <w:rPr>
                <w:rFonts w:ascii="Times New Roman" w:eastAsia="Times New Roman" w:hAnsi="Times New Roman" w:cs="Times New Roman"/>
                <w:color w:val="000000"/>
                <w:lang w:val="ro-RO" w:eastAsia="ro-MD"/>
              </w:rPr>
              <w:t>7</w:t>
            </w:r>
            <w:r w:rsidRPr="000F57AA">
              <w:rPr>
                <w:rFonts w:ascii="Times New Roman" w:eastAsia="Times New Roman" w:hAnsi="Times New Roman" w:cs="Times New Roman"/>
                <w:color w:val="000000"/>
                <w:lang w:val="ro-RO" w:eastAsia="ro-MD"/>
              </w:rPr>
              <w:t xml:space="preserve"> din Regulamentul nr.XX/2025</w:t>
            </w:r>
          </w:p>
        </w:tc>
        <w:tc>
          <w:tcPr>
            <w:tcW w:w="0" w:type="auto"/>
            <w:tcBorders>
              <w:top w:val="outset" w:sz="6" w:space="0" w:color="auto"/>
              <w:left w:val="outset" w:sz="6" w:space="0" w:color="auto"/>
              <w:bottom w:val="outset" w:sz="6" w:space="0" w:color="auto"/>
              <w:right w:val="outset" w:sz="6" w:space="0" w:color="auto"/>
            </w:tcBorders>
            <w:hideMark/>
          </w:tcPr>
          <w:p w14:paraId="1343EA6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563CB5F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FBA8D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0261</w:t>
            </w:r>
          </w:p>
        </w:tc>
        <w:tc>
          <w:tcPr>
            <w:tcW w:w="7468" w:type="dxa"/>
            <w:tcBorders>
              <w:top w:val="outset" w:sz="6" w:space="0" w:color="auto"/>
              <w:left w:val="outset" w:sz="6" w:space="0" w:color="auto"/>
              <w:bottom w:val="outset" w:sz="6" w:space="0" w:color="auto"/>
              <w:right w:val="outset" w:sz="6" w:space="0" w:color="auto"/>
            </w:tcBorders>
            <w:hideMark/>
          </w:tcPr>
          <w:p w14:paraId="70886BE2" w14:textId="4D7BF56E"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ale </w:t>
            </w:r>
            <w:r w:rsidR="00816B98" w:rsidRPr="000F57AA">
              <w:rPr>
                <w:rFonts w:ascii="Times New Roman" w:eastAsia="Times New Roman" w:hAnsi="Times New Roman" w:cs="Times New Roman"/>
                <w:color w:val="000000"/>
                <w:lang w:val="ro-RO" w:eastAsia="ro-MD"/>
              </w:rPr>
              <w:t>băncilor</w:t>
            </w:r>
            <w:r w:rsidRPr="000F57AA">
              <w:rPr>
                <w:rFonts w:ascii="Times New Roman" w:eastAsia="Times New Roman" w:hAnsi="Times New Roman" w:cs="Times New Roman"/>
                <w:color w:val="000000"/>
                <w:lang w:val="ro-RO" w:eastAsia="ro-MD"/>
              </w:rPr>
              <w:t xml:space="preserve"> pentru dezvoltare publică – investiții în sectorul public</w:t>
            </w:r>
          </w:p>
        </w:tc>
        <w:tc>
          <w:tcPr>
            <w:tcW w:w="0" w:type="auto"/>
            <w:tcBorders>
              <w:top w:val="outset" w:sz="6" w:space="0" w:color="auto"/>
              <w:left w:val="outset" w:sz="6" w:space="0" w:color="auto"/>
              <w:bottom w:val="outset" w:sz="6" w:space="0" w:color="auto"/>
              <w:right w:val="outset" w:sz="6" w:space="0" w:color="auto"/>
            </w:tcBorders>
            <w:hideMark/>
          </w:tcPr>
          <w:p w14:paraId="3C9FB70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0A5D415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CE62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0262</w:t>
            </w:r>
          </w:p>
        </w:tc>
        <w:tc>
          <w:tcPr>
            <w:tcW w:w="7468" w:type="dxa"/>
            <w:tcBorders>
              <w:top w:val="outset" w:sz="6" w:space="0" w:color="auto"/>
              <w:left w:val="outset" w:sz="6" w:space="0" w:color="auto"/>
              <w:bottom w:val="outset" w:sz="6" w:space="0" w:color="auto"/>
              <w:right w:val="outset" w:sz="6" w:space="0" w:color="auto"/>
            </w:tcBorders>
            <w:hideMark/>
          </w:tcPr>
          <w:p w14:paraId="59B6F6FB" w14:textId="16F50E44"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ale </w:t>
            </w:r>
            <w:r w:rsidR="00816B98" w:rsidRPr="000F57AA">
              <w:rPr>
                <w:rFonts w:ascii="Times New Roman" w:eastAsia="Times New Roman" w:hAnsi="Times New Roman" w:cs="Times New Roman"/>
                <w:color w:val="000000"/>
                <w:lang w:val="ro-RO" w:eastAsia="ro-MD"/>
              </w:rPr>
              <w:t>băncilor</w:t>
            </w:r>
            <w:r w:rsidRPr="000F57AA">
              <w:rPr>
                <w:rFonts w:ascii="Times New Roman" w:eastAsia="Times New Roman" w:hAnsi="Times New Roman" w:cs="Times New Roman"/>
                <w:color w:val="000000"/>
                <w:lang w:val="ro-RO" w:eastAsia="ro-MD"/>
              </w:rPr>
              <w:t xml:space="preserve"> pentru dezvoltare publică – Credite promoționale acordate de o </w:t>
            </w:r>
            <w:r w:rsidR="00816B98" w:rsidRPr="000F57AA">
              <w:rPr>
                <w:rFonts w:ascii="Times New Roman" w:eastAsia="Times New Roman" w:hAnsi="Times New Roman" w:cs="Times New Roman"/>
                <w:color w:val="000000"/>
                <w:lang w:val="ro-RO" w:eastAsia="ro-MD"/>
              </w:rPr>
              <w:t>bancă</w:t>
            </w:r>
            <w:r w:rsidRPr="000F57AA">
              <w:rPr>
                <w:rFonts w:ascii="Times New Roman" w:eastAsia="Times New Roman" w:hAnsi="Times New Roman" w:cs="Times New Roman"/>
                <w:color w:val="000000"/>
                <w:lang w:val="ro-RO" w:eastAsia="ro-MD"/>
              </w:rPr>
              <w:t xml:space="preserve"> pentru dezvoltare publică</w:t>
            </w:r>
          </w:p>
        </w:tc>
        <w:tc>
          <w:tcPr>
            <w:tcW w:w="0" w:type="auto"/>
            <w:tcBorders>
              <w:top w:val="outset" w:sz="6" w:space="0" w:color="auto"/>
              <w:left w:val="outset" w:sz="6" w:space="0" w:color="auto"/>
              <w:bottom w:val="outset" w:sz="6" w:space="0" w:color="auto"/>
              <w:right w:val="outset" w:sz="6" w:space="0" w:color="auto"/>
            </w:tcBorders>
            <w:hideMark/>
          </w:tcPr>
          <w:p w14:paraId="5B2DE2A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38022488"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9F84B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0263</w:t>
            </w:r>
          </w:p>
        </w:tc>
        <w:tc>
          <w:tcPr>
            <w:tcW w:w="7468" w:type="dxa"/>
            <w:tcBorders>
              <w:top w:val="outset" w:sz="6" w:space="0" w:color="auto"/>
              <w:left w:val="outset" w:sz="6" w:space="0" w:color="auto"/>
              <w:bottom w:val="outset" w:sz="6" w:space="0" w:color="auto"/>
              <w:right w:val="outset" w:sz="6" w:space="0" w:color="auto"/>
            </w:tcBorders>
            <w:hideMark/>
          </w:tcPr>
          <w:p w14:paraId="20B219A0" w14:textId="568C31F4"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ale </w:t>
            </w:r>
            <w:r w:rsidR="007D6D63" w:rsidRPr="000F57AA">
              <w:rPr>
                <w:rFonts w:ascii="Times New Roman" w:eastAsia="Times New Roman" w:hAnsi="Times New Roman" w:cs="Times New Roman"/>
                <w:color w:val="000000"/>
                <w:lang w:val="ro-RO" w:eastAsia="ro-MD"/>
              </w:rPr>
              <w:t>băncilor</w:t>
            </w:r>
            <w:r w:rsidRPr="000F57AA">
              <w:rPr>
                <w:rFonts w:ascii="Times New Roman" w:eastAsia="Times New Roman" w:hAnsi="Times New Roman" w:cs="Times New Roman"/>
                <w:color w:val="000000"/>
                <w:lang w:val="ro-RO" w:eastAsia="ro-MD"/>
              </w:rPr>
              <w:t xml:space="preserve"> pentru dezvoltare publică – Credite promoționale acordate de o entitate creată direct de administrația centrală, de administrațiile regionale sau de autoritățile locale ale unui stat membru</w:t>
            </w:r>
          </w:p>
        </w:tc>
        <w:tc>
          <w:tcPr>
            <w:tcW w:w="0" w:type="auto"/>
            <w:tcBorders>
              <w:top w:val="outset" w:sz="6" w:space="0" w:color="auto"/>
              <w:left w:val="outset" w:sz="6" w:space="0" w:color="auto"/>
              <w:bottom w:val="outset" w:sz="6" w:space="0" w:color="auto"/>
              <w:right w:val="outset" w:sz="6" w:space="0" w:color="auto"/>
            </w:tcBorders>
            <w:hideMark/>
          </w:tcPr>
          <w:p w14:paraId="6B8DBFC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2A00472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4051F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0264</w:t>
            </w:r>
          </w:p>
        </w:tc>
        <w:tc>
          <w:tcPr>
            <w:tcW w:w="7468" w:type="dxa"/>
            <w:tcBorders>
              <w:top w:val="outset" w:sz="6" w:space="0" w:color="auto"/>
              <w:left w:val="outset" w:sz="6" w:space="0" w:color="auto"/>
              <w:bottom w:val="outset" w:sz="6" w:space="0" w:color="auto"/>
              <w:right w:val="outset" w:sz="6" w:space="0" w:color="auto"/>
            </w:tcBorders>
            <w:hideMark/>
          </w:tcPr>
          <w:p w14:paraId="4F9470E7" w14:textId="3E891625"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ale </w:t>
            </w:r>
            <w:r w:rsidR="007D6D63" w:rsidRPr="000F57AA">
              <w:rPr>
                <w:rFonts w:ascii="Times New Roman" w:eastAsia="Times New Roman" w:hAnsi="Times New Roman" w:cs="Times New Roman"/>
                <w:color w:val="000000"/>
                <w:lang w:val="ro-RO" w:eastAsia="ro-MD"/>
              </w:rPr>
              <w:t xml:space="preserve">băncilor </w:t>
            </w:r>
            <w:r w:rsidRPr="000F57AA">
              <w:rPr>
                <w:rFonts w:ascii="Times New Roman" w:eastAsia="Times New Roman" w:hAnsi="Times New Roman" w:cs="Times New Roman"/>
                <w:color w:val="000000"/>
                <w:lang w:val="ro-RO" w:eastAsia="ro-MD"/>
              </w:rPr>
              <w:t xml:space="preserve">pentru dezvoltare publică – Credite promoționale acordate de o entitate creată de administrația centrală, de administrațiile regionale </w:t>
            </w:r>
            <w:r w:rsidRPr="000F57AA">
              <w:rPr>
                <w:rFonts w:ascii="Times New Roman" w:eastAsia="Times New Roman" w:hAnsi="Times New Roman" w:cs="Times New Roman"/>
                <w:color w:val="000000"/>
                <w:lang w:val="ro-RO" w:eastAsia="ro-MD"/>
              </w:rPr>
              <w:lastRenderedPageBreak/>
              <w:t>sau de autoritățile locale ale unui stat membru printr-o instituție de credit intermediară</w:t>
            </w:r>
          </w:p>
        </w:tc>
        <w:tc>
          <w:tcPr>
            <w:tcW w:w="0" w:type="auto"/>
            <w:tcBorders>
              <w:top w:val="outset" w:sz="6" w:space="0" w:color="auto"/>
              <w:left w:val="outset" w:sz="6" w:space="0" w:color="auto"/>
              <w:bottom w:val="outset" w:sz="6" w:space="0" w:color="auto"/>
              <w:right w:val="outset" w:sz="6" w:space="0" w:color="auto"/>
            </w:tcBorders>
            <w:hideMark/>
          </w:tcPr>
          <w:p w14:paraId="0CBC2C6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 X</w:t>
            </w:r>
          </w:p>
        </w:tc>
      </w:tr>
      <w:tr w:rsidR="00D9298D" w:rsidRPr="000F57AA" w14:paraId="255F6FCF"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B5A36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0265</w:t>
            </w:r>
          </w:p>
        </w:tc>
        <w:tc>
          <w:tcPr>
            <w:tcW w:w="7468" w:type="dxa"/>
            <w:tcBorders>
              <w:top w:val="outset" w:sz="6" w:space="0" w:color="auto"/>
              <w:left w:val="outset" w:sz="6" w:space="0" w:color="auto"/>
              <w:bottom w:val="outset" w:sz="6" w:space="0" w:color="auto"/>
              <w:right w:val="outset" w:sz="6" w:space="0" w:color="auto"/>
            </w:tcBorders>
            <w:hideMark/>
          </w:tcPr>
          <w:p w14:paraId="3E4AFEF6" w14:textId="10B1C9EF"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care decurg din creditele promoționale de tipul „pass through” acordate de </w:t>
            </w:r>
            <w:r w:rsidR="00FA5B54" w:rsidRPr="000F57AA">
              <w:rPr>
                <w:rFonts w:ascii="Times New Roman" w:eastAsia="Times New Roman" w:hAnsi="Times New Roman" w:cs="Times New Roman"/>
                <w:color w:val="000000"/>
                <w:lang w:val="ro-RO" w:eastAsia="ro-MD"/>
              </w:rPr>
              <w:t xml:space="preserve">bănci </w:t>
            </w:r>
            <w:r w:rsidRPr="000F57AA">
              <w:rPr>
                <w:rFonts w:ascii="Times New Roman" w:eastAsia="Times New Roman" w:hAnsi="Times New Roman" w:cs="Times New Roman"/>
                <w:color w:val="000000"/>
                <w:lang w:val="ro-RO" w:eastAsia="ro-MD"/>
              </w:rPr>
              <w:t xml:space="preserve">(sau unități) care nu sunt </w:t>
            </w:r>
            <w:r w:rsidR="007D6D63" w:rsidRPr="000F57AA">
              <w:rPr>
                <w:rFonts w:ascii="Times New Roman" w:eastAsia="Times New Roman" w:hAnsi="Times New Roman" w:cs="Times New Roman"/>
                <w:color w:val="000000"/>
                <w:lang w:val="ro-RO" w:eastAsia="ro-MD"/>
              </w:rPr>
              <w:t>bănci</w:t>
            </w:r>
            <w:r w:rsidRPr="000F57AA">
              <w:rPr>
                <w:rFonts w:ascii="Times New Roman" w:eastAsia="Times New Roman" w:hAnsi="Times New Roman" w:cs="Times New Roman"/>
                <w:color w:val="000000"/>
                <w:lang w:val="ro-RO" w:eastAsia="ro-MD"/>
              </w:rPr>
              <w:t xml:space="preserve"> pentru dezvoltare publică – Credite promoționale acordate de o </w:t>
            </w:r>
            <w:r w:rsidR="007D6D63" w:rsidRPr="000F57AA">
              <w:rPr>
                <w:rFonts w:ascii="Times New Roman" w:eastAsia="Times New Roman" w:hAnsi="Times New Roman" w:cs="Times New Roman"/>
                <w:color w:val="000000"/>
                <w:lang w:val="ro-RO" w:eastAsia="ro-MD"/>
              </w:rPr>
              <w:t>bancă</w:t>
            </w:r>
            <w:r w:rsidRPr="000F57AA">
              <w:rPr>
                <w:rFonts w:ascii="Times New Roman" w:eastAsia="Times New Roman" w:hAnsi="Times New Roman" w:cs="Times New Roman"/>
                <w:color w:val="000000"/>
                <w:lang w:val="ro-RO" w:eastAsia="ro-MD"/>
              </w:rPr>
              <w:t xml:space="preserve"> pentru dezvoltare publică</w:t>
            </w:r>
          </w:p>
        </w:tc>
        <w:tc>
          <w:tcPr>
            <w:tcW w:w="0" w:type="auto"/>
            <w:tcBorders>
              <w:top w:val="outset" w:sz="6" w:space="0" w:color="auto"/>
              <w:left w:val="outset" w:sz="6" w:space="0" w:color="auto"/>
              <w:bottom w:val="outset" w:sz="6" w:space="0" w:color="auto"/>
              <w:right w:val="outset" w:sz="6" w:space="0" w:color="auto"/>
            </w:tcBorders>
            <w:hideMark/>
          </w:tcPr>
          <w:p w14:paraId="5E23FAF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05AA73E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5113C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0266</w:t>
            </w:r>
          </w:p>
        </w:tc>
        <w:tc>
          <w:tcPr>
            <w:tcW w:w="7468" w:type="dxa"/>
            <w:tcBorders>
              <w:top w:val="outset" w:sz="6" w:space="0" w:color="auto"/>
              <w:left w:val="outset" w:sz="6" w:space="0" w:color="auto"/>
              <w:bottom w:val="outset" w:sz="6" w:space="0" w:color="auto"/>
              <w:right w:val="outset" w:sz="6" w:space="0" w:color="auto"/>
            </w:tcBorders>
            <w:hideMark/>
          </w:tcPr>
          <w:p w14:paraId="16702F8E" w14:textId="3A48450A"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care decurg din creditele promoționale de tipul „pass through” acordate de </w:t>
            </w:r>
            <w:r w:rsidR="007D6D63" w:rsidRPr="000F57AA">
              <w:rPr>
                <w:rFonts w:ascii="Times New Roman" w:eastAsia="Times New Roman" w:hAnsi="Times New Roman" w:cs="Times New Roman"/>
                <w:color w:val="000000"/>
                <w:lang w:val="ro-RO" w:eastAsia="ro-MD"/>
              </w:rPr>
              <w:t xml:space="preserve">bănci </w:t>
            </w:r>
            <w:r w:rsidRPr="000F57AA">
              <w:rPr>
                <w:rFonts w:ascii="Times New Roman" w:eastAsia="Times New Roman" w:hAnsi="Times New Roman" w:cs="Times New Roman"/>
                <w:color w:val="000000"/>
                <w:lang w:val="ro-RO" w:eastAsia="ro-MD"/>
              </w:rPr>
              <w:t xml:space="preserve">(sau unități) care nu sunt </w:t>
            </w:r>
            <w:r w:rsidR="007D6D63" w:rsidRPr="000F57AA">
              <w:rPr>
                <w:rFonts w:ascii="Times New Roman" w:eastAsia="Times New Roman" w:hAnsi="Times New Roman" w:cs="Times New Roman"/>
                <w:color w:val="000000"/>
                <w:lang w:val="ro-RO" w:eastAsia="ro-MD"/>
              </w:rPr>
              <w:t>bănci</w:t>
            </w:r>
            <w:r w:rsidRPr="000F57AA">
              <w:rPr>
                <w:rFonts w:ascii="Times New Roman" w:eastAsia="Times New Roman" w:hAnsi="Times New Roman" w:cs="Times New Roman"/>
                <w:color w:val="000000"/>
                <w:lang w:val="ro-RO" w:eastAsia="ro-MD"/>
              </w:rPr>
              <w:t xml:space="preserve"> pentru dezvoltare publică - Credite promoționale acordate de o entitate creată direct de administrația centrală, de administrațiile regionale sau de autoritățile locale ale unui stat membru</w:t>
            </w:r>
          </w:p>
        </w:tc>
        <w:tc>
          <w:tcPr>
            <w:tcW w:w="0" w:type="auto"/>
            <w:tcBorders>
              <w:top w:val="outset" w:sz="6" w:space="0" w:color="auto"/>
              <w:left w:val="outset" w:sz="6" w:space="0" w:color="auto"/>
              <w:bottom w:val="outset" w:sz="6" w:space="0" w:color="auto"/>
              <w:right w:val="outset" w:sz="6" w:space="0" w:color="auto"/>
            </w:tcBorders>
            <w:hideMark/>
          </w:tcPr>
          <w:p w14:paraId="68DD1CE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 </w:t>
            </w:r>
          </w:p>
        </w:tc>
      </w:tr>
      <w:tr w:rsidR="00D9298D" w:rsidRPr="000F57AA" w14:paraId="6653391B"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2C4DC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0267</w:t>
            </w:r>
          </w:p>
        </w:tc>
        <w:tc>
          <w:tcPr>
            <w:tcW w:w="7468" w:type="dxa"/>
            <w:tcBorders>
              <w:top w:val="outset" w:sz="6" w:space="0" w:color="auto"/>
              <w:left w:val="outset" w:sz="6" w:space="0" w:color="auto"/>
              <w:bottom w:val="outset" w:sz="6" w:space="0" w:color="auto"/>
              <w:right w:val="outset" w:sz="6" w:space="0" w:color="auto"/>
            </w:tcBorders>
            <w:hideMark/>
          </w:tcPr>
          <w:p w14:paraId="79B10A0F" w14:textId="01FF4660"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 Expuneri excluse care decurg din creditele promoționale de tipul „pass through” acordate de </w:t>
            </w:r>
            <w:r w:rsidR="007D6D63" w:rsidRPr="000F57AA">
              <w:rPr>
                <w:rFonts w:ascii="Times New Roman" w:eastAsia="Times New Roman" w:hAnsi="Times New Roman" w:cs="Times New Roman"/>
                <w:color w:val="000000"/>
                <w:lang w:val="ro-RO" w:eastAsia="ro-MD"/>
              </w:rPr>
              <w:t xml:space="preserve">bănci </w:t>
            </w:r>
            <w:r w:rsidRPr="000F57AA">
              <w:rPr>
                <w:rFonts w:ascii="Times New Roman" w:eastAsia="Times New Roman" w:hAnsi="Times New Roman" w:cs="Times New Roman"/>
                <w:color w:val="000000"/>
                <w:lang w:val="ro-RO" w:eastAsia="ro-MD"/>
              </w:rPr>
              <w:t xml:space="preserve">(sau unități) care nu sunt </w:t>
            </w:r>
            <w:r w:rsidR="007D6D63" w:rsidRPr="000F57AA">
              <w:rPr>
                <w:rFonts w:ascii="Times New Roman" w:eastAsia="Times New Roman" w:hAnsi="Times New Roman" w:cs="Times New Roman"/>
                <w:color w:val="000000"/>
                <w:lang w:val="ro-RO" w:eastAsia="ro-MD"/>
              </w:rPr>
              <w:t>bănci</w:t>
            </w:r>
            <w:r w:rsidRPr="000F57AA">
              <w:rPr>
                <w:rFonts w:ascii="Times New Roman" w:eastAsia="Times New Roman" w:hAnsi="Times New Roman" w:cs="Times New Roman"/>
                <w:color w:val="000000"/>
                <w:lang w:val="ro-RO" w:eastAsia="ro-MD"/>
              </w:rPr>
              <w:t xml:space="preserve"> pentru dezvoltare publică - Credite promoționale acordate de o entitate creată de administrația centrală, de administrațiile regionale sau de autoritățile locale ale unui stat membru printr-o </w:t>
            </w:r>
            <w:r w:rsidR="007D6D63" w:rsidRPr="000F57AA">
              <w:rPr>
                <w:rFonts w:ascii="Times New Roman" w:eastAsia="Times New Roman" w:hAnsi="Times New Roman" w:cs="Times New Roman"/>
                <w:color w:val="000000"/>
                <w:lang w:val="ro-RO" w:eastAsia="ro-MD"/>
              </w:rPr>
              <w:t>bancă</w:t>
            </w:r>
            <w:r w:rsidRPr="000F57AA">
              <w:rPr>
                <w:rFonts w:ascii="Times New Roman" w:eastAsia="Times New Roman" w:hAnsi="Times New Roman" w:cs="Times New Roman"/>
                <w:color w:val="000000"/>
                <w:lang w:val="ro-RO" w:eastAsia="ro-MD"/>
              </w:rPr>
              <w:t xml:space="preserve"> intermediară</w:t>
            </w:r>
          </w:p>
        </w:tc>
        <w:tc>
          <w:tcPr>
            <w:tcW w:w="0" w:type="auto"/>
            <w:tcBorders>
              <w:top w:val="outset" w:sz="6" w:space="0" w:color="auto"/>
              <w:left w:val="outset" w:sz="6" w:space="0" w:color="auto"/>
              <w:bottom w:val="outset" w:sz="6" w:space="0" w:color="auto"/>
              <w:right w:val="outset" w:sz="6" w:space="0" w:color="auto"/>
            </w:tcBorders>
            <w:hideMark/>
          </w:tcPr>
          <w:p w14:paraId="17DBCCF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A05A6A" w14:paraId="2C8535C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C2BA0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0270</w:t>
            </w:r>
          </w:p>
        </w:tc>
        <w:tc>
          <w:tcPr>
            <w:tcW w:w="7468" w:type="dxa"/>
            <w:tcBorders>
              <w:top w:val="outset" w:sz="6" w:space="0" w:color="auto"/>
              <w:left w:val="outset" w:sz="6" w:space="0" w:color="auto"/>
              <w:bottom w:val="outset" w:sz="6" w:space="0" w:color="auto"/>
              <w:right w:val="outset" w:sz="6" w:space="0" w:color="auto"/>
            </w:tcBorders>
            <w:hideMark/>
          </w:tcPr>
          <w:p w14:paraId="46680DC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Cuantumul activelor scăzut din fonduri proprii de nivel 1 - conform definiției introduse integral</w:t>
            </w:r>
          </w:p>
        </w:tc>
        <w:tc>
          <w:tcPr>
            <w:tcW w:w="0" w:type="auto"/>
            <w:tcBorders>
              <w:top w:val="outset" w:sz="6" w:space="0" w:color="auto"/>
              <w:left w:val="outset" w:sz="6" w:space="0" w:color="auto"/>
              <w:bottom w:val="outset" w:sz="6" w:space="0" w:color="auto"/>
              <w:right w:val="outset" w:sz="6" w:space="0" w:color="auto"/>
            </w:tcBorders>
            <w:hideMark/>
          </w:tcPr>
          <w:p w14:paraId="20E5D76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70481DC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6DD9D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0280</w:t>
            </w:r>
          </w:p>
        </w:tc>
        <w:tc>
          <w:tcPr>
            <w:tcW w:w="7468" w:type="dxa"/>
            <w:tcBorders>
              <w:top w:val="outset" w:sz="6" w:space="0" w:color="auto"/>
              <w:left w:val="outset" w:sz="6" w:space="0" w:color="auto"/>
              <w:bottom w:val="outset" w:sz="6" w:space="0" w:color="auto"/>
              <w:right w:val="outset" w:sz="6" w:space="0" w:color="auto"/>
            </w:tcBorders>
            <w:hideMark/>
          </w:tcPr>
          <w:p w14:paraId="4A4A8A7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Cuantumul activelor scăzut (-) sau adăugat (+) – din/la fondurile proprii de nivel 1 – conform definiției tranzitorii</w:t>
            </w:r>
          </w:p>
        </w:tc>
        <w:tc>
          <w:tcPr>
            <w:tcW w:w="0" w:type="auto"/>
            <w:tcBorders>
              <w:top w:val="outset" w:sz="6" w:space="0" w:color="auto"/>
              <w:left w:val="outset" w:sz="6" w:space="0" w:color="auto"/>
              <w:bottom w:val="outset" w:sz="6" w:space="0" w:color="auto"/>
              <w:right w:val="outset" w:sz="6" w:space="0" w:color="auto"/>
            </w:tcBorders>
            <w:hideMark/>
          </w:tcPr>
          <w:p w14:paraId="28AF832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A05A6A" w14:paraId="2F08CB3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AC341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0290</w:t>
            </w:r>
          </w:p>
        </w:tc>
        <w:tc>
          <w:tcPr>
            <w:tcW w:w="7468" w:type="dxa"/>
            <w:tcBorders>
              <w:top w:val="outset" w:sz="6" w:space="0" w:color="auto"/>
              <w:left w:val="outset" w:sz="6" w:space="0" w:color="auto"/>
              <w:bottom w:val="outset" w:sz="6" w:space="0" w:color="auto"/>
              <w:right w:val="outset" w:sz="6" w:space="0" w:color="auto"/>
            </w:tcBorders>
            <w:hideMark/>
          </w:tcPr>
          <w:p w14:paraId="7E58131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Totalul indicatorului de măsurare a expunerii utilizat pentru calcularea indicatorului efectului de levier – utilizând o definiție introdusă integral a fondurilor proprii de nivel 1</w:t>
            </w:r>
          </w:p>
        </w:tc>
        <w:tc>
          <w:tcPr>
            <w:tcW w:w="0" w:type="auto"/>
            <w:tcBorders>
              <w:top w:val="outset" w:sz="6" w:space="0" w:color="auto"/>
              <w:left w:val="outset" w:sz="6" w:space="0" w:color="auto"/>
              <w:bottom w:val="outset" w:sz="6" w:space="0" w:color="auto"/>
              <w:right w:val="outset" w:sz="6" w:space="0" w:color="auto"/>
            </w:tcBorders>
            <w:hideMark/>
          </w:tcPr>
          <w:p w14:paraId="13E0B83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1A2EBF8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68A24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0300</w:t>
            </w:r>
          </w:p>
        </w:tc>
        <w:tc>
          <w:tcPr>
            <w:tcW w:w="7468" w:type="dxa"/>
            <w:tcBorders>
              <w:top w:val="outset" w:sz="6" w:space="0" w:color="auto"/>
              <w:left w:val="outset" w:sz="6" w:space="0" w:color="auto"/>
              <w:bottom w:val="outset" w:sz="6" w:space="0" w:color="auto"/>
              <w:right w:val="outset" w:sz="6" w:space="0" w:color="auto"/>
            </w:tcBorders>
            <w:hideMark/>
          </w:tcPr>
          <w:p w14:paraId="6C27029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Totalul indicatorului de măsurare a expunerii utilizat pentru calcularea indicatorului efectului de levier – utilizând o definiție tranzitorie a fondurilor proprii de nivel 1</w:t>
            </w:r>
          </w:p>
        </w:tc>
        <w:tc>
          <w:tcPr>
            <w:tcW w:w="0" w:type="auto"/>
            <w:tcBorders>
              <w:top w:val="outset" w:sz="6" w:space="0" w:color="auto"/>
              <w:left w:val="outset" w:sz="6" w:space="0" w:color="auto"/>
              <w:bottom w:val="outset" w:sz="6" w:space="0" w:color="auto"/>
              <w:right w:val="outset" w:sz="6" w:space="0" w:color="auto"/>
            </w:tcBorders>
            <w:hideMark/>
          </w:tcPr>
          <w:p w14:paraId="2F9C4C7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77EF31CF" w14:textId="77777777" w:rsidTr="00381D5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E75BA3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5769219" w14:textId="5B3469C6" w:rsidR="00D9298D" w:rsidRPr="000F57AA" w:rsidRDefault="00D053EC"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Fonduri proprii</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0CF9E0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1FAC1C9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56D14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0310</w:t>
            </w:r>
          </w:p>
        </w:tc>
        <w:tc>
          <w:tcPr>
            <w:tcW w:w="7468" w:type="dxa"/>
            <w:tcBorders>
              <w:top w:val="outset" w:sz="6" w:space="0" w:color="auto"/>
              <w:left w:val="outset" w:sz="6" w:space="0" w:color="auto"/>
              <w:bottom w:val="outset" w:sz="6" w:space="0" w:color="auto"/>
              <w:right w:val="outset" w:sz="6" w:space="0" w:color="auto"/>
            </w:tcBorders>
            <w:hideMark/>
          </w:tcPr>
          <w:p w14:paraId="53A76D0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Fondurile proprii de nivel 1 - conform definiției introduse integral</w:t>
            </w:r>
          </w:p>
        </w:tc>
        <w:tc>
          <w:tcPr>
            <w:tcW w:w="0" w:type="auto"/>
            <w:tcBorders>
              <w:top w:val="outset" w:sz="6" w:space="0" w:color="auto"/>
              <w:left w:val="outset" w:sz="6" w:space="0" w:color="auto"/>
              <w:bottom w:val="outset" w:sz="6" w:space="0" w:color="auto"/>
              <w:right w:val="outset" w:sz="6" w:space="0" w:color="auto"/>
            </w:tcBorders>
            <w:hideMark/>
          </w:tcPr>
          <w:p w14:paraId="590E966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3E921729"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D0E74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0320</w:t>
            </w:r>
          </w:p>
        </w:tc>
        <w:tc>
          <w:tcPr>
            <w:tcW w:w="7468" w:type="dxa"/>
            <w:tcBorders>
              <w:top w:val="outset" w:sz="6" w:space="0" w:color="auto"/>
              <w:left w:val="outset" w:sz="6" w:space="0" w:color="auto"/>
              <w:bottom w:val="outset" w:sz="6" w:space="0" w:color="auto"/>
              <w:right w:val="outset" w:sz="6" w:space="0" w:color="auto"/>
            </w:tcBorders>
            <w:hideMark/>
          </w:tcPr>
          <w:p w14:paraId="714476C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Fondurile proprii de nivel 1 - conform definiției tranzitorii</w:t>
            </w:r>
          </w:p>
        </w:tc>
        <w:tc>
          <w:tcPr>
            <w:tcW w:w="0" w:type="auto"/>
            <w:tcBorders>
              <w:top w:val="outset" w:sz="6" w:space="0" w:color="auto"/>
              <w:left w:val="outset" w:sz="6" w:space="0" w:color="auto"/>
              <w:bottom w:val="outset" w:sz="6" w:space="0" w:color="auto"/>
              <w:right w:val="outset" w:sz="6" w:space="0" w:color="auto"/>
            </w:tcBorders>
            <w:hideMark/>
          </w:tcPr>
          <w:p w14:paraId="6A8D01F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28629C38" w14:textId="77777777" w:rsidTr="00381D5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58F47F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64C9119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efectului de levier</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10B5C56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07E0770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0FD2B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0330</w:t>
            </w:r>
          </w:p>
        </w:tc>
        <w:tc>
          <w:tcPr>
            <w:tcW w:w="7468" w:type="dxa"/>
            <w:tcBorders>
              <w:top w:val="outset" w:sz="6" w:space="0" w:color="auto"/>
              <w:left w:val="outset" w:sz="6" w:space="0" w:color="auto"/>
              <w:bottom w:val="outset" w:sz="6" w:space="0" w:color="auto"/>
              <w:right w:val="outset" w:sz="6" w:space="0" w:color="auto"/>
            </w:tcBorders>
            <w:hideMark/>
          </w:tcPr>
          <w:p w14:paraId="7C14273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efectului de levier – utilizând o definiție introdusă integral a fondurilor proprii de nivel 1</w:t>
            </w:r>
          </w:p>
        </w:tc>
        <w:tc>
          <w:tcPr>
            <w:tcW w:w="0" w:type="auto"/>
            <w:tcBorders>
              <w:top w:val="outset" w:sz="6" w:space="0" w:color="auto"/>
              <w:left w:val="outset" w:sz="6" w:space="0" w:color="auto"/>
              <w:bottom w:val="outset" w:sz="6" w:space="0" w:color="auto"/>
              <w:right w:val="outset" w:sz="6" w:space="0" w:color="auto"/>
            </w:tcBorders>
            <w:hideMark/>
          </w:tcPr>
          <w:p w14:paraId="2C31A70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4ED8775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44159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0340</w:t>
            </w:r>
          </w:p>
        </w:tc>
        <w:tc>
          <w:tcPr>
            <w:tcW w:w="7468" w:type="dxa"/>
            <w:tcBorders>
              <w:top w:val="outset" w:sz="6" w:space="0" w:color="auto"/>
              <w:left w:val="outset" w:sz="6" w:space="0" w:color="auto"/>
              <w:bottom w:val="outset" w:sz="6" w:space="0" w:color="auto"/>
              <w:right w:val="outset" w:sz="6" w:space="0" w:color="auto"/>
            </w:tcBorders>
            <w:hideMark/>
          </w:tcPr>
          <w:p w14:paraId="53FC78C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efectului de levier – utilizând o definiție tranzitorie a fondurilor proprii de nivel 1</w:t>
            </w:r>
          </w:p>
        </w:tc>
        <w:tc>
          <w:tcPr>
            <w:tcW w:w="0" w:type="auto"/>
            <w:tcBorders>
              <w:top w:val="outset" w:sz="6" w:space="0" w:color="auto"/>
              <w:left w:val="outset" w:sz="6" w:space="0" w:color="auto"/>
              <w:bottom w:val="outset" w:sz="6" w:space="0" w:color="auto"/>
              <w:right w:val="outset" w:sz="6" w:space="0" w:color="auto"/>
            </w:tcBorders>
            <w:hideMark/>
          </w:tcPr>
          <w:p w14:paraId="17B3267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074D8CD8" w14:textId="77777777" w:rsidTr="00381D5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166BD4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D7794D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Cerințe: cuantumuri</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F95223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5A5FC17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20E22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0350</w:t>
            </w:r>
          </w:p>
        </w:tc>
        <w:tc>
          <w:tcPr>
            <w:tcW w:w="7468" w:type="dxa"/>
            <w:tcBorders>
              <w:top w:val="outset" w:sz="6" w:space="0" w:color="auto"/>
              <w:left w:val="outset" w:sz="6" w:space="0" w:color="auto"/>
              <w:bottom w:val="outset" w:sz="6" w:space="0" w:color="auto"/>
              <w:right w:val="outset" w:sz="6" w:space="0" w:color="auto"/>
            </w:tcBorders>
            <w:hideMark/>
          </w:tcPr>
          <w:p w14:paraId="1991E2E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Cerința din cadrul pilonului 2 (P2R) pentru a aborda riscurile asociate folosirii excesive a efectului de levier</w:t>
            </w:r>
          </w:p>
        </w:tc>
        <w:tc>
          <w:tcPr>
            <w:tcW w:w="0" w:type="auto"/>
            <w:tcBorders>
              <w:top w:val="outset" w:sz="6" w:space="0" w:color="auto"/>
              <w:left w:val="outset" w:sz="6" w:space="0" w:color="auto"/>
              <w:bottom w:val="outset" w:sz="6" w:space="0" w:color="auto"/>
              <w:right w:val="outset" w:sz="6" w:space="0" w:color="auto"/>
            </w:tcBorders>
            <w:hideMark/>
          </w:tcPr>
          <w:p w14:paraId="0CBA190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6174535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8EDA5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0360</w:t>
            </w:r>
          </w:p>
        </w:tc>
        <w:tc>
          <w:tcPr>
            <w:tcW w:w="7468" w:type="dxa"/>
            <w:tcBorders>
              <w:top w:val="outset" w:sz="6" w:space="0" w:color="auto"/>
              <w:left w:val="outset" w:sz="6" w:space="0" w:color="auto"/>
              <w:bottom w:val="outset" w:sz="6" w:space="0" w:color="auto"/>
              <w:right w:val="outset" w:sz="6" w:space="0" w:color="auto"/>
            </w:tcBorders>
            <w:hideMark/>
          </w:tcPr>
          <w:p w14:paraId="515AEDB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din care: va consta în fonduri proprii de nivel 1 de bază</w:t>
            </w:r>
          </w:p>
        </w:tc>
        <w:tc>
          <w:tcPr>
            <w:tcW w:w="0" w:type="auto"/>
            <w:tcBorders>
              <w:top w:val="outset" w:sz="6" w:space="0" w:color="auto"/>
              <w:left w:val="outset" w:sz="6" w:space="0" w:color="auto"/>
              <w:bottom w:val="outset" w:sz="6" w:space="0" w:color="auto"/>
              <w:right w:val="outset" w:sz="6" w:space="0" w:color="auto"/>
            </w:tcBorders>
            <w:hideMark/>
          </w:tcPr>
          <w:p w14:paraId="285F0CA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4A68EE8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ADAB5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0370</w:t>
            </w:r>
          </w:p>
        </w:tc>
        <w:tc>
          <w:tcPr>
            <w:tcW w:w="7468" w:type="dxa"/>
            <w:tcBorders>
              <w:top w:val="outset" w:sz="6" w:space="0" w:color="auto"/>
              <w:left w:val="outset" w:sz="6" w:space="0" w:color="auto"/>
              <w:bottom w:val="outset" w:sz="6" w:space="0" w:color="auto"/>
              <w:right w:val="outset" w:sz="6" w:space="0" w:color="auto"/>
            </w:tcBorders>
            <w:hideMark/>
          </w:tcPr>
          <w:p w14:paraId="0F93CD3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Amortizorul pentru indicatorul efectului de levier în cazul G-SII</w:t>
            </w:r>
          </w:p>
        </w:tc>
        <w:tc>
          <w:tcPr>
            <w:tcW w:w="0" w:type="auto"/>
            <w:tcBorders>
              <w:top w:val="outset" w:sz="6" w:space="0" w:color="auto"/>
              <w:left w:val="outset" w:sz="6" w:space="0" w:color="auto"/>
              <w:bottom w:val="outset" w:sz="6" w:space="0" w:color="auto"/>
              <w:right w:val="outset" w:sz="6" w:space="0" w:color="auto"/>
            </w:tcBorders>
            <w:hideMark/>
          </w:tcPr>
          <w:p w14:paraId="3434032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41BC075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931C8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0380</w:t>
            </w:r>
          </w:p>
        </w:tc>
        <w:tc>
          <w:tcPr>
            <w:tcW w:w="7468" w:type="dxa"/>
            <w:tcBorders>
              <w:top w:val="outset" w:sz="6" w:space="0" w:color="auto"/>
              <w:left w:val="outset" w:sz="6" w:space="0" w:color="auto"/>
              <w:bottom w:val="outset" w:sz="6" w:space="0" w:color="auto"/>
              <w:right w:val="outset" w:sz="6" w:space="0" w:color="auto"/>
            </w:tcBorders>
            <w:hideMark/>
          </w:tcPr>
          <w:p w14:paraId="44B9B04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Orientările din cadrul pilonului 2 (P2G) pentru a aborda riscurile asociate folosirii excesive a efectului de levier</w:t>
            </w:r>
          </w:p>
        </w:tc>
        <w:tc>
          <w:tcPr>
            <w:tcW w:w="0" w:type="auto"/>
            <w:tcBorders>
              <w:top w:val="outset" w:sz="6" w:space="0" w:color="auto"/>
              <w:left w:val="outset" w:sz="6" w:space="0" w:color="auto"/>
              <w:bottom w:val="outset" w:sz="6" w:space="0" w:color="auto"/>
              <w:right w:val="outset" w:sz="6" w:space="0" w:color="auto"/>
            </w:tcBorders>
            <w:hideMark/>
          </w:tcPr>
          <w:p w14:paraId="22AC296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19B4543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7268A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0390</w:t>
            </w:r>
          </w:p>
        </w:tc>
        <w:tc>
          <w:tcPr>
            <w:tcW w:w="7468" w:type="dxa"/>
            <w:tcBorders>
              <w:top w:val="outset" w:sz="6" w:space="0" w:color="auto"/>
              <w:left w:val="outset" w:sz="6" w:space="0" w:color="auto"/>
              <w:bottom w:val="outset" w:sz="6" w:space="0" w:color="auto"/>
              <w:right w:val="outset" w:sz="6" w:space="0" w:color="auto"/>
            </w:tcBorders>
            <w:hideMark/>
          </w:tcPr>
          <w:p w14:paraId="7126870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din care: va consta în fonduri proprii de nivel 1 de bază</w:t>
            </w:r>
          </w:p>
        </w:tc>
        <w:tc>
          <w:tcPr>
            <w:tcW w:w="0" w:type="auto"/>
            <w:tcBorders>
              <w:top w:val="outset" w:sz="6" w:space="0" w:color="auto"/>
              <w:left w:val="outset" w:sz="6" w:space="0" w:color="auto"/>
              <w:bottom w:val="outset" w:sz="6" w:space="0" w:color="auto"/>
              <w:right w:val="outset" w:sz="6" w:space="0" w:color="auto"/>
            </w:tcBorders>
            <w:hideMark/>
          </w:tcPr>
          <w:p w14:paraId="6E1794C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66FDB7E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0F906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0400</w:t>
            </w:r>
          </w:p>
        </w:tc>
        <w:tc>
          <w:tcPr>
            <w:tcW w:w="7468" w:type="dxa"/>
            <w:tcBorders>
              <w:top w:val="outset" w:sz="6" w:space="0" w:color="auto"/>
              <w:left w:val="outset" w:sz="6" w:space="0" w:color="auto"/>
              <w:bottom w:val="outset" w:sz="6" w:space="0" w:color="auto"/>
              <w:right w:val="outset" w:sz="6" w:space="0" w:color="auto"/>
            </w:tcBorders>
            <w:hideMark/>
          </w:tcPr>
          <w:p w14:paraId="0E24AC9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din care: va consta în fonduri proprii de nivel 1</w:t>
            </w:r>
          </w:p>
        </w:tc>
        <w:tc>
          <w:tcPr>
            <w:tcW w:w="0" w:type="auto"/>
            <w:tcBorders>
              <w:top w:val="outset" w:sz="6" w:space="0" w:color="auto"/>
              <w:left w:val="outset" w:sz="6" w:space="0" w:color="auto"/>
              <w:bottom w:val="outset" w:sz="6" w:space="0" w:color="auto"/>
              <w:right w:val="outset" w:sz="6" w:space="0" w:color="auto"/>
            </w:tcBorders>
            <w:hideMark/>
          </w:tcPr>
          <w:p w14:paraId="2FFF0F6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13FF1753" w14:textId="77777777" w:rsidTr="00381D5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E84230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E41B4A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Cerințe: indicatori</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9BBC84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5F05867A"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2E823A"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0410</w:t>
            </w:r>
          </w:p>
        </w:tc>
        <w:tc>
          <w:tcPr>
            <w:tcW w:w="7468" w:type="dxa"/>
            <w:tcBorders>
              <w:top w:val="outset" w:sz="6" w:space="0" w:color="auto"/>
              <w:left w:val="outset" w:sz="6" w:space="0" w:color="auto"/>
              <w:bottom w:val="outset" w:sz="6" w:space="0" w:color="auto"/>
              <w:right w:val="outset" w:sz="6" w:space="0" w:color="auto"/>
            </w:tcBorders>
            <w:hideMark/>
          </w:tcPr>
          <w:p w14:paraId="5F46B1F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Cerința privind indicatorul efectului de levier din pilonul 1</w:t>
            </w:r>
          </w:p>
        </w:tc>
        <w:tc>
          <w:tcPr>
            <w:tcW w:w="0" w:type="auto"/>
            <w:tcBorders>
              <w:top w:val="outset" w:sz="6" w:space="0" w:color="auto"/>
              <w:left w:val="outset" w:sz="6" w:space="0" w:color="auto"/>
              <w:bottom w:val="outset" w:sz="6" w:space="0" w:color="auto"/>
              <w:right w:val="outset" w:sz="6" w:space="0" w:color="auto"/>
            </w:tcBorders>
            <w:hideMark/>
          </w:tcPr>
          <w:p w14:paraId="3625B10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4F4A6BAA"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04D8D9"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0420</w:t>
            </w:r>
          </w:p>
        </w:tc>
        <w:tc>
          <w:tcPr>
            <w:tcW w:w="7468" w:type="dxa"/>
            <w:tcBorders>
              <w:top w:val="outset" w:sz="6" w:space="0" w:color="auto"/>
              <w:left w:val="outset" w:sz="6" w:space="0" w:color="auto"/>
              <w:bottom w:val="outset" w:sz="6" w:space="0" w:color="auto"/>
              <w:right w:val="outset" w:sz="6" w:space="0" w:color="auto"/>
            </w:tcBorders>
            <w:hideMark/>
          </w:tcPr>
          <w:p w14:paraId="3EFFF79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Cerința totală privind indicatorul efectului de levier din cadrul SREP (TSLRR)</w:t>
            </w:r>
          </w:p>
        </w:tc>
        <w:tc>
          <w:tcPr>
            <w:tcW w:w="0" w:type="auto"/>
            <w:tcBorders>
              <w:top w:val="outset" w:sz="6" w:space="0" w:color="auto"/>
              <w:left w:val="outset" w:sz="6" w:space="0" w:color="auto"/>
              <w:bottom w:val="outset" w:sz="6" w:space="0" w:color="auto"/>
              <w:right w:val="outset" w:sz="6" w:space="0" w:color="auto"/>
            </w:tcBorders>
            <w:hideMark/>
          </w:tcPr>
          <w:p w14:paraId="7CC93D8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A05A6A" w14:paraId="709728CE"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51129E7"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0430</w:t>
            </w:r>
          </w:p>
        </w:tc>
        <w:tc>
          <w:tcPr>
            <w:tcW w:w="7468" w:type="dxa"/>
            <w:tcBorders>
              <w:top w:val="outset" w:sz="6" w:space="0" w:color="auto"/>
              <w:left w:val="outset" w:sz="6" w:space="0" w:color="auto"/>
              <w:bottom w:val="outset" w:sz="6" w:space="0" w:color="auto"/>
              <w:right w:val="outset" w:sz="6" w:space="0" w:color="auto"/>
            </w:tcBorders>
            <w:hideMark/>
          </w:tcPr>
          <w:p w14:paraId="2E81784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TSLRR: va consta în fonduri proprii de nivel 1 de bază</w:t>
            </w:r>
          </w:p>
        </w:tc>
        <w:tc>
          <w:tcPr>
            <w:tcW w:w="0" w:type="auto"/>
            <w:tcBorders>
              <w:top w:val="outset" w:sz="6" w:space="0" w:color="auto"/>
              <w:left w:val="outset" w:sz="6" w:space="0" w:color="auto"/>
              <w:bottom w:val="outset" w:sz="6" w:space="0" w:color="auto"/>
              <w:right w:val="outset" w:sz="6" w:space="0" w:color="auto"/>
            </w:tcBorders>
            <w:hideMark/>
          </w:tcPr>
          <w:p w14:paraId="37EF40D6"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D9298D" w:rsidRPr="000F57AA" w14:paraId="0C71FF7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05699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0440</w:t>
            </w:r>
          </w:p>
        </w:tc>
        <w:tc>
          <w:tcPr>
            <w:tcW w:w="7468" w:type="dxa"/>
            <w:tcBorders>
              <w:top w:val="outset" w:sz="6" w:space="0" w:color="auto"/>
              <w:left w:val="outset" w:sz="6" w:space="0" w:color="auto"/>
              <w:bottom w:val="outset" w:sz="6" w:space="0" w:color="auto"/>
              <w:right w:val="outset" w:sz="6" w:space="0" w:color="auto"/>
            </w:tcBorders>
            <w:hideMark/>
          </w:tcPr>
          <w:p w14:paraId="54B077F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Cerința globală privind indicatorul efectului de levier (OLRR)</w:t>
            </w:r>
          </w:p>
        </w:tc>
        <w:tc>
          <w:tcPr>
            <w:tcW w:w="0" w:type="auto"/>
            <w:tcBorders>
              <w:top w:val="outset" w:sz="6" w:space="0" w:color="auto"/>
              <w:left w:val="outset" w:sz="6" w:space="0" w:color="auto"/>
              <w:bottom w:val="outset" w:sz="6" w:space="0" w:color="auto"/>
              <w:right w:val="outset" w:sz="6" w:space="0" w:color="auto"/>
            </w:tcBorders>
            <w:hideMark/>
          </w:tcPr>
          <w:p w14:paraId="10F7C5F5"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39BDB1AC"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61C881"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0450</w:t>
            </w:r>
          </w:p>
        </w:tc>
        <w:tc>
          <w:tcPr>
            <w:tcW w:w="7468" w:type="dxa"/>
            <w:tcBorders>
              <w:top w:val="outset" w:sz="6" w:space="0" w:color="auto"/>
              <w:left w:val="outset" w:sz="6" w:space="0" w:color="auto"/>
              <w:bottom w:val="outset" w:sz="6" w:space="0" w:color="auto"/>
              <w:right w:val="outset" w:sz="6" w:space="0" w:color="auto"/>
            </w:tcBorders>
            <w:hideMark/>
          </w:tcPr>
          <w:p w14:paraId="1E55BBA8"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Cerința globală privind indicatorul efectului de levier (OLRR) și rata prevăzută în orientările din cadrul pilonului 2 (P2G)</w:t>
            </w:r>
          </w:p>
        </w:tc>
        <w:tc>
          <w:tcPr>
            <w:tcW w:w="0" w:type="auto"/>
            <w:tcBorders>
              <w:top w:val="outset" w:sz="6" w:space="0" w:color="auto"/>
              <w:left w:val="outset" w:sz="6" w:space="0" w:color="auto"/>
              <w:bottom w:val="outset" w:sz="6" w:space="0" w:color="auto"/>
              <w:right w:val="outset" w:sz="6" w:space="0" w:color="auto"/>
            </w:tcBorders>
            <w:hideMark/>
          </w:tcPr>
          <w:p w14:paraId="5A0CD7B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4BE8481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55F3E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0460</w:t>
            </w:r>
          </w:p>
        </w:tc>
        <w:tc>
          <w:tcPr>
            <w:tcW w:w="7468" w:type="dxa"/>
            <w:tcBorders>
              <w:top w:val="outset" w:sz="6" w:space="0" w:color="auto"/>
              <w:left w:val="outset" w:sz="6" w:space="0" w:color="auto"/>
              <w:bottom w:val="outset" w:sz="6" w:space="0" w:color="auto"/>
              <w:right w:val="outset" w:sz="6" w:space="0" w:color="auto"/>
            </w:tcBorders>
            <w:hideMark/>
          </w:tcPr>
          <w:p w14:paraId="257B4F7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OLRR și P2G: vor consta în fonduri proprii de nivel 1 de bază</w:t>
            </w:r>
          </w:p>
        </w:tc>
        <w:tc>
          <w:tcPr>
            <w:tcW w:w="0" w:type="auto"/>
            <w:tcBorders>
              <w:top w:val="outset" w:sz="6" w:space="0" w:color="auto"/>
              <w:left w:val="outset" w:sz="6" w:space="0" w:color="auto"/>
              <w:bottom w:val="outset" w:sz="6" w:space="0" w:color="auto"/>
              <w:right w:val="outset" w:sz="6" w:space="0" w:color="auto"/>
            </w:tcBorders>
            <w:hideMark/>
          </w:tcPr>
          <w:p w14:paraId="06A3906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281CB37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217CEF"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0470</w:t>
            </w:r>
          </w:p>
        </w:tc>
        <w:tc>
          <w:tcPr>
            <w:tcW w:w="7468" w:type="dxa"/>
            <w:tcBorders>
              <w:top w:val="outset" w:sz="6" w:space="0" w:color="auto"/>
              <w:left w:val="outset" w:sz="6" w:space="0" w:color="auto"/>
              <w:bottom w:val="outset" w:sz="6" w:space="0" w:color="auto"/>
              <w:right w:val="outset" w:sz="6" w:space="0" w:color="auto"/>
            </w:tcBorders>
            <w:hideMark/>
          </w:tcPr>
          <w:p w14:paraId="04C29E9D"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OLRR și P2G: vor consta în fonduri proprii de nivel 1</w:t>
            </w:r>
          </w:p>
        </w:tc>
        <w:tc>
          <w:tcPr>
            <w:tcW w:w="0" w:type="auto"/>
            <w:tcBorders>
              <w:top w:val="outset" w:sz="6" w:space="0" w:color="auto"/>
              <w:left w:val="outset" w:sz="6" w:space="0" w:color="auto"/>
              <w:bottom w:val="outset" w:sz="6" w:space="0" w:color="auto"/>
              <w:right w:val="outset" w:sz="6" w:space="0" w:color="auto"/>
            </w:tcBorders>
            <w:hideMark/>
          </w:tcPr>
          <w:p w14:paraId="394BB2F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6093CD02" w14:textId="77777777" w:rsidTr="00381D5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701D0BD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Rând</w:t>
            </w:r>
          </w:p>
        </w:tc>
        <w:tc>
          <w:tcPr>
            <w:tcW w:w="7468"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55BC80B"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memorandum</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D16039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p>
        </w:tc>
      </w:tr>
      <w:tr w:rsidR="00D9298D" w:rsidRPr="000F57AA" w14:paraId="083D7F69"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2C9ED2"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0480</w:t>
            </w:r>
          </w:p>
        </w:tc>
        <w:tc>
          <w:tcPr>
            <w:tcW w:w="7468" w:type="dxa"/>
            <w:tcBorders>
              <w:top w:val="outset" w:sz="6" w:space="0" w:color="auto"/>
              <w:left w:val="outset" w:sz="6" w:space="0" w:color="auto"/>
              <w:bottom w:val="outset" w:sz="6" w:space="0" w:color="auto"/>
              <w:right w:val="outset" w:sz="6" w:space="0" w:color="auto"/>
            </w:tcBorders>
            <w:hideMark/>
          </w:tcPr>
          <w:p w14:paraId="47D590A4"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efectului de levier ca și cum nu s-ar fi aplicat IFRS 9 sau măsurile tranzitorii similare privind pierderile din credit așteptate (expected credit loss - ECL)</w:t>
            </w:r>
          </w:p>
        </w:tc>
        <w:tc>
          <w:tcPr>
            <w:tcW w:w="0" w:type="auto"/>
            <w:tcBorders>
              <w:top w:val="outset" w:sz="6" w:space="0" w:color="auto"/>
              <w:left w:val="outset" w:sz="6" w:space="0" w:color="auto"/>
              <w:bottom w:val="outset" w:sz="6" w:space="0" w:color="auto"/>
              <w:right w:val="outset" w:sz="6" w:space="0" w:color="auto"/>
            </w:tcBorders>
            <w:hideMark/>
          </w:tcPr>
          <w:p w14:paraId="671ABFD0"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D9298D" w:rsidRPr="000F57AA" w14:paraId="6ABA421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4D8163"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0490</w:t>
            </w:r>
          </w:p>
        </w:tc>
        <w:tc>
          <w:tcPr>
            <w:tcW w:w="7468" w:type="dxa"/>
            <w:tcBorders>
              <w:top w:val="outset" w:sz="6" w:space="0" w:color="auto"/>
              <w:left w:val="outset" w:sz="6" w:space="0" w:color="auto"/>
              <w:bottom w:val="outset" w:sz="6" w:space="0" w:color="auto"/>
              <w:right w:val="outset" w:sz="6" w:space="0" w:color="auto"/>
            </w:tcBorders>
            <w:hideMark/>
          </w:tcPr>
          <w:p w14:paraId="4A698D2E"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efectului de levier ca și cum nu s-ar fi aplicat tratamentul temporar al câștigurilor și al pierderilor nerealizate evaluate la valoarea justă prin alte elemente ale rezultatului global</w:t>
            </w:r>
          </w:p>
        </w:tc>
        <w:tc>
          <w:tcPr>
            <w:tcW w:w="0" w:type="auto"/>
            <w:tcBorders>
              <w:top w:val="outset" w:sz="6" w:space="0" w:color="auto"/>
              <w:left w:val="outset" w:sz="6" w:space="0" w:color="auto"/>
              <w:bottom w:val="outset" w:sz="6" w:space="0" w:color="auto"/>
              <w:right w:val="outset" w:sz="6" w:space="0" w:color="auto"/>
            </w:tcBorders>
            <w:hideMark/>
          </w:tcPr>
          <w:p w14:paraId="4E59EBDC" w14:textId="77777777" w:rsidR="00D9298D" w:rsidRPr="000F57AA" w:rsidRDefault="00D9298D" w:rsidP="00D9298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bl>
    <w:p w14:paraId="43DD3870" w14:textId="77777777" w:rsidR="00117969" w:rsidRPr="000F57AA" w:rsidRDefault="00117969" w:rsidP="00D9298D">
      <w:pPr>
        <w:spacing w:after="0"/>
        <w:rPr>
          <w:rFonts w:ascii="Times New Roman" w:eastAsia="Times New Roman" w:hAnsi="Times New Roman" w:cs="Times New Roman"/>
          <w:lang w:val="ro-RO"/>
        </w:rPr>
      </w:pPr>
    </w:p>
    <w:p w14:paraId="64390333" w14:textId="77777777" w:rsidR="00F850FD" w:rsidRPr="000F57AA" w:rsidRDefault="000D0362" w:rsidP="00F850F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Modul de completare a raportului</w:t>
      </w:r>
    </w:p>
    <w:p w14:paraId="3037811F" w14:textId="7A3C9896" w:rsidR="000D0362" w:rsidRPr="000F57AA" w:rsidRDefault="000D0362" w:rsidP="00F850F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 47.00 – Calculul indicatorului efectului de levier (LRCalc)</w:t>
      </w:r>
    </w:p>
    <w:p w14:paraId="2FFC2BFD" w14:textId="34625AC9" w:rsidR="000D0362" w:rsidRPr="000F57AA" w:rsidRDefault="000D0362" w:rsidP="00F850F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Instrucţiuni pentru anumite poziţii</w:t>
      </w:r>
    </w:p>
    <w:tbl>
      <w:tblPr>
        <w:tblStyle w:val="TableGrid"/>
        <w:tblW w:w="9776" w:type="dxa"/>
        <w:tblLayout w:type="fixed"/>
        <w:tblLook w:val="04A0" w:firstRow="1" w:lastRow="0" w:firstColumn="1" w:lastColumn="0" w:noHBand="0" w:noVBand="1"/>
      </w:tblPr>
      <w:tblGrid>
        <w:gridCol w:w="988"/>
        <w:gridCol w:w="7371"/>
        <w:gridCol w:w="1417"/>
      </w:tblGrid>
      <w:tr w:rsidR="00F850FD" w:rsidRPr="000F57AA" w14:paraId="6A98C079" w14:textId="77777777" w:rsidTr="00652989">
        <w:trPr>
          <w:trHeight w:val="162"/>
        </w:trPr>
        <w:tc>
          <w:tcPr>
            <w:tcW w:w="988" w:type="dxa"/>
            <w:shd w:val="clear" w:color="auto" w:fill="E7E6E6" w:themeFill="background2"/>
          </w:tcPr>
          <w:p w14:paraId="64E4EC65" w14:textId="77777777" w:rsidR="00F850FD" w:rsidRPr="000F57AA" w:rsidRDefault="00F850FD" w:rsidP="00F850FD">
            <w:pPr>
              <w:spacing w:line="259" w:lineRule="auto"/>
              <w:ind w:firstLine="708"/>
              <w:rPr>
                <w:rFonts w:ascii="Times New Roman" w:eastAsia="Times New Roman" w:hAnsi="Times New Roman" w:cs="Times New Roman"/>
                <w:lang w:val="ro-RO"/>
              </w:rPr>
            </w:pPr>
          </w:p>
        </w:tc>
        <w:tc>
          <w:tcPr>
            <w:tcW w:w="8788" w:type="dxa"/>
            <w:gridSpan w:val="2"/>
            <w:shd w:val="clear" w:color="auto" w:fill="E7E6E6" w:themeFill="background2"/>
          </w:tcPr>
          <w:p w14:paraId="3D4DBEAD" w14:textId="77777777"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Referințe juridice și instrucțiuni</w:t>
            </w:r>
          </w:p>
        </w:tc>
      </w:tr>
      <w:tr w:rsidR="00F850FD" w:rsidRPr="000F57AA" w14:paraId="268BA9FD" w14:textId="77777777" w:rsidTr="00652989">
        <w:trPr>
          <w:trHeight w:val="161"/>
        </w:trPr>
        <w:tc>
          <w:tcPr>
            <w:tcW w:w="988" w:type="dxa"/>
            <w:shd w:val="clear" w:color="auto" w:fill="E7E6E6" w:themeFill="background2"/>
          </w:tcPr>
          <w:p w14:paraId="011CC2B2" w14:textId="77777777" w:rsidR="00F850FD" w:rsidRPr="000F57AA" w:rsidRDefault="00F850FD" w:rsidP="00F850FD">
            <w:pPr>
              <w:spacing w:line="259" w:lineRule="auto"/>
              <w:rPr>
                <w:rFonts w:ascii="Times New Roman" w:eastAsia="Times New Roman" w:hAnsi="Times New Roman" w:cs="Times New Roman"/>
                <w:lang w:val="ro-RO"/>
              </w:rPr>
            </w:pPr>
            <w:r w:rsidRPr="000F57AA">
              <w:rPr>
                <w:rFonts w:ascii="Times New Roman" w:eastAsia="Times New Roman" w:hAnsi="Times New Roman" w:cs="Times New Roman"/>
                <w:lang w:val="ro-RO"/>
              </w:rPr>
              <w:t>Rând și coloană</w:t>
            </w:r>
          </w:p>
        </w:tc>
        <w:tc>
          <w:tcPr>
            <w:tcW w:w="8788" w:type="dxa"/>
            <w:gridSpan w:val="2"/>
            <w:shd w:val="clear" w:color="auto" w:fill="E7E6E6" w:themeFill="background2"/>
          </w:tcPr>
          <w:p w14:paraId="4765C6E2" w14:textId="77777777"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Valori ale expunerii</w:t>
            </w:r>
          </w:p>
        </w:tc>
      </w:tr>
      <w:tr w:rsidR="00F850FD" w:rsidRPr="00A05A6A" w14:paraId="6E6C75AE" w14:textId="77777777" w:rsidTr="00652989">
        <w:trPr>
          <w:trHeight w:val="190"/>
        </w:trPr>
        <w:tc>
          <w:tcPr>
            <w:tcW w:w="988" w:type="dxa"/>
          </w:tcPr>
          <w:p w14:paraId="570524B4" w14:textId="77777777" w:rsidR="00F850FD" w:rsidRPr="000F57AA" w:rsidRDefault="00F850FD" w:rsidP="00F850FD">
            <w:pPr>
              <w:spacing w:line="259" w:lineRule="auto"/>
              <w:rPr>
                <w:rFonts w:ascii="Times New Roman" w:eastAsia="Times New Roman" w:hAnsi="Times New Roman" w:cs="Times New Roman"/>
                <w:lang w:val="ro-RO"/>
              </w:rPr>
            </w:pPr>
            <w:r w:rsidRPr="000F57AA">
              <w:rPr>
                <w:rFonts w:ascii="Times New Roman" w:eastAsia="Times New Roman" w:hAnsi="Times New Roman" w:cs="Times New Roman"/>
                <w:lang w:val="ro-RO"/>
              </w:rPr>
              <w:t>{0010;0010}</w:t>
            </w:r>
          </w:p>
        </w:tc>
        <w:tc>
          <w:tcPr>
            <w:tcW w:w="8788" w:type="dxa"/>
            <w:gridSpan w:val="2"/>
          </w:tcPr>
          <w:p w14:paraId="7B5DE667" w14:textId="77777777" w:rsidR="00F850FD" w:rsidRPr="000F57AA" w:rsidRDefault="00F850FD" w:rsidP="00F850FD">
            <w:pPr>
              <w:spacing w:line="259" w:lineRule="auto"/>
              <w:ind w:firstLine="465"/>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SFT-uri: valoarea expunerii</w:t>
            </w:r>
          </w:p>
          <w:p w14:paraId="5C5CF587" w14:textId="77777777"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Subpct.24.2 și pct.28-31 din Regulamentul nr.XX/2025.</w:t>
            </w:r>
          </w:p>
          <w:p w14:paraId="51054564" w14:textId="63C650DF"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Expunerea pentru SFT-uri, calculată în conformitate cu subpct.24.2 și pct.28-31 din Regulamentul nr.XX/2025.</w:t>
            </w:r>
          </w:p>
          <w:p w14:paraId="15218A9A" w14:textId="7BA08B1F"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iau în considerare în această celulă tranzacţiile prevăzute la subpct.</w:t>
            </w:r>
            <w:r w:rsidR="001B2474" w:rsidRPr="000F57AA">
              <w:rPr>
                <w:rFonts w:ascii="Times New Roman" w:eastAsia="Times New Roman" w:hAnsi="Times New Roman" w:cs="Times New Roman"/>
                <w:lang w:val="ro-RO"/>
              </w:rPr>
              <w:t>60.3</w:t>
            </w:r>
            <w:r w:rsidRPr="000F57AA">
              <w:rPr>
                <w:rFonts w:ascii="Times New Roman" w:eastAsia="Times New Roman" w:hAnsi="Times New Roman" w:cs="Times New Roman"/>
                <w:lang w:val="ro-RO"/>
              </w:rPr>
              <w:t xml:space="preserve"> din Regulamentul nr.XX/2025.</w:t>
            </w:r>
          </w:p>
          <w:p w14:paraId="6FFDB613" w14:textId="63D31CEB"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nu includ în această celulă numerarul primit sau titlurile care sunt furnizate unei contrapărţi prin intermediul tranzacţiilor sus-menţionate și care sunt reţinute în bilanţ (și anume, pentru care criteriile contabile de scoatere din bilanţ nu sunt îndeplinite). Băncile includ însă elementele respective în {0190;0010}.</w:t>
            </w:r>
          </w:p>
          <w:p w14:paraId="23FAFA99" w14:textId="3701A547" w:rsidR="00F850FD" w:rsidRPr="000F57AA" w:rsidRDefault="00F850FD" w:rsidP="00F850FD">
            <w:pPr>
              <w:spacing w:line="259" w:lineRule="auto"/>
              <w:ind w:firstLine="465"/>
              <w:rPr>
                <w:rFonts w:ascii="Times New Roman" w:eastAsia="Times New Roman" w:hAnsi="Times New Roman" w:cs="Times New Roman"/>
                <w:b/>
                <w:bCs/>
                <w:lang w:val="ro-RO"/>
              </w:rPr>
            </w:pPr>
            <w:r w:rsidRPr="000F57AA">
              <w:rPr>
                <w:rFonts w:ascii="Times New Roman" w:eastAsia="Times New Roman" w:hAnsi="Times New Roman" w:cs="Times New Roman"/>
                <w:lang w:val="ro-RO"/>
              </w:rPr>
              <w:t>Băncile nu includ în această celulă SFT-urile încheiate în calitate de agent atunci când banca 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subpct.</w:t>
            </w:r>
            <w:r w:rsidR="00B8263F" w:rsidRPr="000F57AA">
              <w:rPr>
                <w:rFonts w:ascii="Times New Roman" w:eastAsia="Times New Roman" w:hAnsi="Times New Roman" w:cs="Times New Roman"/>
                <w:lang w:val="ro-RO"/>
              </w:rPr>
              <w:t>60.1</w:t>
            </w:r>
            <w:r w:rsidRPr="000F57AA">
              <w:rPr>
                <w:rFonts w:ascii="Times New Roman" w:eastAsia="Times New Roman" w:hAnsi="Times New Roman" w:cs="Times New Roman"/>
                <w:lang w:val="ro-RO"/>
              </w:rPr>
              <w:t xml:space="preserve"> din Regulamentul nr.XX/2025.</w:t>
            </w:r>
          </w:p>
        </w:tc>
      </w:tr>
      <w:tr w:rsidR="00F850FD" w:rsidRPr="000F57AA" w14:paraId="113587E7" w14:textId="77777777" w:rsidTr="00652989">
        <w:trPr>
          <w:trHeight w:val="190"/>
        </w:trPr>
        <w:tc>
          <w:tcPr>
            <w:tcW w:w="988" w:type="dxa"/>
          </w:tcPr>
          <w:p w14:paraId="0294FE63" w14:textId="35260527" w:rsidR="00F850FD" w:rsidRPr="000F57AA" w:rsidRDefault="00F850FD" w:rsidP="00F850FD">
            <w:pPr>
              <w:spacing w:line="259" w:lineRule="auto"/>
              <w:rPr>
                <w:rFonts w:ascii="Times New Roman" w:eastAsia="Times New Roman" w:hAnsi="Times New Roman" w:cs="Times New Roman"/>
                <w:lang w:val="ro-RO"/>
              </w:rPr>
            </w:pPr>
            <w:r w:rsidRPr="000F57AA">
              <w:rPr>
                <w:rFonts w:ascii="Times New Roman" w:eastAsia="Times New Roman" w:hAnsi="Times New Roman" w:cs="Times New Roman"/>
                <w:lang w:val="ro-RO"/>
              </w:rPr>
              <w:t>{0020;0010}</w:t>
            </w:r>
          </w:p>
        </w:tc>
        <w:tc>
          <w:tcPr>
            <w:tcW w:w="8788" w:type="dxa"/>
            <w:gridSpan w:val="2"/>
          </w:tcPr>
          <w:p w14:paraId="0EA085C8" w14:textId="77777777" w:rsidR="00F850FD" w:rsidRPr="000F57AA" w:rsidRDefault="00F850FD" w:rsidP="00F850FD">
            <w:pPr>
              <w:spacing w:line="259" w:lineRule="auto"/>
              <w:ind w:firstLine="465"/>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SFT-uri: majorare pentru riscul de contraparte</w:t>
            </w:r>
          </w:p>
          <w:p w14:paraId="3F39109D" w14:textId="3DF324A0"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Pct.</w:t>
            </w:r>
            <w:r w:rsidR="00562345" w:rsidRPr="000F57AA">
              <w:rPr>
                <w:rFonts w:ascii="Times New Roman" w:eastAsia="Times New Roman" w:hAnsi="Times New Roman" w:cs="Times New Roman"/>
                <w:lang w:val="ro-RO"/>
              </w:rPr>
              <w:t xml:space="preserve">54 </w:t>
            </w:r>
            <w:r w:rsidRPr="000F57AA">
              <w:rPr>
                <w:rFonts w:ascii="Times New Roman" w:eastAsia="Times New Roman" w:hAnsi="Times New Roman" w:cs="Times New Roman"/>
                <w:lang w:val="ro-RO"/>
              </w:rPr>
              <w:t>din Regulamentul nr.XX/2025</w:t>
            </w:r>
          </w:p>
          <w:p w14:paraId="0B3F3167" w14:textId="160E169E"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Majorarea pentru riscul de contraparte în cazul SFT-urilor, inclusiv extrabilanţiere, determinată în conformitate cu pct.</w:t>
            </w:r>
            <w:r w:rsidR="00562345" w:rsidRPr="000F57AA">
              <w:rPr>
                <w:rFonts w:ascii="Times New Roman" w:eastAsia="Times New Roman" w:hAnsi="Times New Roman" w:cs="Times New Roman"/>
                <w:lang w:val="ro-RO"/>
              </w:rPr>
              <w:t xml:space="preserve">55 </w:t>
            </w:r>
            <w:r w:rsidRPr="000F57AA">
              <w:rPr>
                <w:rFonts w:ascii="Times New Roman" w:eastAsia="Times New Roman" w:hAnsi="Times New Roman" w:cs="Times New Roman"/>
                <w:lang w:val="ro-RO"/>
              </w:rPr>
              <w:t xml:space="preserve">sau </w:t>
            </w:r>
            <w:r w:rsidR="00562345" w:rsidRPr="000F57AA">
              <w:rPr>
                <w:rFonts w:ascii="Times New Roman" w:eastAsia="Times New Roman" w:hAnsi="Times New Roman" w:cs="Times New Roman"/>
                <w:lang w:val="ro-RO"/>
              </w:rPr>
              <w:t xml:space="preserve">56 </w:t>
            </w:r>
            <w:r w:rsidRPr="000F57AA">
              <w:rPr>
                <w:rFonts w:ascii="Times New Roman" w:eastAsia="Times New Roman" w:hAnsi="Times New Roman" w:cs="Times New Roman"/>
                <w:lang w:val="ro-RO"/>
              </w:rPr>
              <w:t>și pct.</w:t>
            </w:r>
            <w:r w:rsidR="00562345" w:rsidRPr="000F57AA">
              <w:rPr>
                <w:rFonts w:ascii="Times New Roman" w:eastAsia="Times New Roman" w:hAnsi="Times New Roman" w:cs="Times New Roman"/>
                <w:lang w:val="ro-RO"/>
              </w:rPr>
              <w:t>57</w:t>
            </w:r>
            <w:r w:rsidRPr="000F57AA">
              <w:rPr>
                <w:rFonts w:ascii="Times New Roman" w:eastAsia="Times New Roman" w:hAnsi="Times New Roman" w:cs="Times New Roman"/>
                <w:lang w:val="ro-RO"/>
              </w:rPr>
              <w:t xml:space="preserve"> din Regulamentul nr.XX/2025, după caz.</w:t>
            </w:r>
          </w:p>
          <w:p w14:paraId="1256F225" w14:textId="254F6E38"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iau în considerare în această celulă tranzacţiile prevăzute la subpct.</w:t>
            </w:r>
            <w:r w:rsidR="00562345" w:rsidRPr="000F57AA">
              <w:rPr>
                <w:rFonts w:ascii="Times New Roman" w:eastAsia="Times New Roman" w:hAnsi="Times New Roman" w:cs="Times New Roman"/>
                <w:lang w:val="ro-RO"/>
              </w:rPr>
              <w:t>60.3</w:t>
            </w:r>
            <w:r w:rsidRPr="000F57AA">
              <w:rPr>
                <w:rFonts w:ascii="Times New Roman" w:eastAsia="Times New Roman" w:hAnsi="Times New Roman" w:cs="Times New Roman"/>
                <w:lang w:val="ro-RO"/>
              </w:rPr>
              <w:t xml:space="preserve"> din Regulamentul nr.XX/2025.</w:t>
            </w:r>
          </w:p>
          <w:p w14:paraId="28EFC3C1" w14:textId="135C6826"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nu includ în această celulă SFT-urile încheiate în calitate de agent atunci când banca 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subpct.</w:t>
            </w:r>
            <w:r w:rsidR="00562345" w:rsidRPr="000F57AA">
              <w:rPr>
                <w:rFonts w:ascii="Times New Roman" w:eastAsia="Times New Roman" w:hAnsi="Times New Roman" w:cs="Times New Roman"/>
                <w:lang w:val="ro-RO"/>
              </w:rPr>
              <w:t>60.1</w:t>
            </w:r>
            <w:r w:rsidRPr="000F57AA">
              <w:rPr>
                <w:rFonts w:ascii="Times New Roman" w:eastAsia="Times New Roman" w:hAnsi="Times New Roman" w:cs="Times New Roman"/>
                <w:lang w:val="ro-RO"/>
              </w:rPr>
              <w:t xml:space="preserve"> din Regulamentul nr.XX/2025. Băncile includ însă elementele respective în {0040;0010}.</w:t>
            </w:r>
          </w:p>
        </w:tc>
      </w:tr>
      <w:tr w:rsidR="00F850FD" w:rsidRPr="00A05A6A" w14:paraId="222A23AD" w14:textId="77777777" w:rsidTr="00652989">
        <w:trPr>
          <w:trHeight w:val="190"/>
        </w:trPr>
        <w:tc>
          <w:tcPr>
            <w:tcW w:w="988" w:type="dxa"/>
          </w:tcPr>
          <w:p w14:paraId="4AA10ED8" w14:textId="52B22492" w:rsidR="00F850FD" w:rsidRPr="000F57AA" w:rsidRDefault="00F850FD" w:rsidP="00F850FD">
            <w:pPr>
              <w:spacing w:line="259" w:lineRule="auto"/>
              <w:rPr>
                <w:rFonts w:ascii="Times New Roman" w:eastAsia="Times New Roman" w:hAnsi="Times New Roman" w:cs="Times New Roman"/>
                <w:lang w:val="ro-RO"/>
              </w:rPr>
            </w:pPr>
            <w:r w:rsidRPr="000F57AA">
              <w:rPr>
                <w:rFonts w:ascii="Times New Roman" w:eastAsia="Times New Roman" w:hAnsi="Times New Roman" w:cs="Times New Roman"/>
                <w:lang w:val="ro-RO"/>
              </w:rPr>
              <w:t>{0030;0010}</w:t>
            </w:r>
          </w:p>
        </w:tc>
        <w:tc>
          <w:tcPr>
            <w:tcW w:w="8788" w:type="dxa"/>
            <w:gridSpan w:val="2"/>
          </w:tcPr>
          <w:p w14:paraId="1731C6DD" w14:textId="5CDDEBF5" w:rsidR="00F850FD" w:rsidRPr="000F57AA" w:rsidRDefault="00F850FD" w:rsidP="00F850FD">
            <w:pPr>
              <w:spacing w:line="259" w:lineRule="auto"/>
              <w:ind w:firstLine="465"/>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Derogare pentru SFT-uri: majorare conform pct.</w:t>
            </w:r>
            <w:r w:rsidR="00562345" w:rsidRPr="000F57AA">
              <w:rPr>
                <w:rFonts w:ascii="Times New Roman" w:eastAsia="Times New Roman" w:hAnsi="Times New Roman" w:cs="Times New Roman"/>
                <w:b/>
                <w:bCs/>
                <w:lang w:val="ro-RO"/>
              </w:rPr>
              <w:t>58</w:t>
            </w:r>
            <w:r w:rsidRPr="000F57AA">
              <w:rPr>
                <w:rFonts w:ascii="Times New Roman" w:eastAsia="Times New Roman" w:hAnsi="Times New Roman" w:cs="Times New Roman"/>
                <w:b/>
                <w:bCs/>
                <w:lang w:val="ro-RO"/>
              </w:rPr>
              <w:t xml:space="preserve"> din Regulamentul nr.XX/2025 și pct.73-83 din Regulamentul nr.112/2018 </w:t>
            </w:r>
          </w:p>
          <w:p w14:paraId="6BA6CD3F" w14:textId="61139ABD"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Pct.</w:t>
            </w:r>
            <w:r w:rsidR="00562345" w:rsidRPr="000F57AA">
              <w:rPr>
                <w:rFonts w:ascii="Times New Roman" w:eastAsia="Times New Roman" w:hAnsi="Times New Roman" w:cs="Times New Roman"/>
                <w:lang w:val="ro-RO"/>
              </w:rPr>
              <w:t xml:space="preserve">58 </w:t>
            </w:r>
            <w:r w:rsidRPr="000F57AA">
              <w:rPr>
                <w:rFonts w:ascii="Times New Roman" w:eastAsia="Times New Roman" w:hAnsi="Times New Roman" w:cs="Times New Roman"/>
                <w:lang w:val="ro-RO"/>
              </w:rPr>
              <w:t>din Regulamentul nr.XX/2025 și pct.73-83 din Regulamentul nr.112/2018</w:t>
            </w:r>
          </w:p>
          <w:p w14:paraId="39A676B9" w14:textId="319F4D77"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Valoarea expunerii în cazul SFT-urilor, inclusiv extrabilanţiere, calculată în conformitate cu pct.75-83 din Regulamentul nr.112/2018, sub rezerva unui prag de 20 % pentru</w:t>
            </w:r>
            <w:r w:rsidR="0043115C"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lang w:val="ro-RO"/>
              </w:rPr>
              <w:t>ponderea de risc aplicabilă.</w:t>
            </w:r>
          </w:p>
          <w:p w14:paraId="422573F8" w14:textId="6BB75A13"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lastRenderedPageBreak/>
              <w:t>Băncile iau în considerare în această celulă tranzacţiile prevăzute la subpct.</w:t>
            </w:r>
            <w:r w:rsidR="00562345" w:rsidRPr="000F57AA">
              <w:rPr>
                <w:rFonts w:ascii="Times New Roman" w:eastAsia="Times New Roman" w:hAnsi="Times New Roman" w:cs="Times New Roman"/>
                <w:lang w:val="ro-RO"/>
              </w:rPr>
              <w:t>60.3</w:t>
            </w:r>
            <w:r w:rsidRPr="000F57AA">
              <w:rPr>
                <w:rFonts w:ascii="Times New Roman" w:eastAsia="Times New Roman" w:hAnsi="Times New Roman" w:cs="Times New Roman"/>
                <w:lang w:val="ro-RO"/>
              </w:rPr>
              <w:t xml:space="preserve"> din Regulamentul nr.XX/2025.</w:t>
            </w:r>
          </w:p>
          <w:p w14:paraId="1FC34B3D" w14:textId="24B45602" w:rsidR="00F850FD" w:rsidRPr="000F57AA" w:rsidRDefault="00F850FD" w:rsidP="00F850FD">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nu iau în considerare în această celulă tranzacţiile pentru care partea de majorare din valoarea expunerii pentru calcularea indicatorului efectului de levier este determinată în conformitate cu metoda menţionată la pct.</w:t>
            </w:r>
            <w:r w:rsidR="00562345" w:rsidRPr="000F57AA">
              <w:rPr>
                <w:rFonts w:ascii="Times New Roman" w:eastAsia="Times New Roman" w:hAnsi="Times New Roman" w:cs="Times New Roman"/>
                <w:lang w:val="ro-RO"/>
              </w:rPr>
              <w:t>54</w:t>
            </w:r>
            <w:r w:rsidRPr="000F57AA">
              <w:rPr>
                <w:rFonts w:ascii="Times New Roman" w:eastAsia="Times New Roman" w:hAnsi="Times New Roman" w:cs="Times New Roman"/>
                <w:lang w:val="ro-RO"/>
              </w:rPr>
              <w:t xml:space="preserve"> din Regulamentul nr.XX/2025.</w:t>
            </w:r>
          </w:p>
        </w:tc>
      </w:tr>
      <w:tr w:rsidR="007D1E2B" w:rsidRPr="00A05A6A" w14:paraId="50A87977" w14:textId="77777777" w:rsidTr="00652989">
        <w:trPr>
          <w:trHeight w:val="190"/>
        </w:trPr>
        <w:tc>
          <w:tcPr>
            <w:tcW w:w="988" w:type="dxa"/>
          </w:tcPr>
          <w:p w14:paraId="71FEF61E" w14:textId="39FDD268" w:rsidR="007D1E2B" w:rsidRPr="000F57AA" w:rsidRDefault="007D1E2B" w:rsidP="007D1E2B">
            <w:pPr>
              <w:spacing w:line="259" w:lineRule="auto"/>
              <w:rPr>
                <w:rFonts w:ascii="Times New Roman" w:eastAsia="Times New Roman" w:hAnsi="Times New Roman" w:cs="Times New Roman"/>
                <w:lang w:val="ro-RO"/>
              </w:rPr>
            </w:pPr>
            <w:r w:rsidRPr="000F57AA">
              <w:rPr>
                <w:rFonts w:ascii="Times New Roman" w:eastAsia="Times New Roman" w:hAnsi="Times New Roman" w:cs="Times New Roman"/>
                <w:lang w:val="ro-RO"/>
              </w:rPr>
              <w:lastRenderedPageBreak/>
              <w:t>{0040;0010}</w:t>
            </w:r>
          </w:p>
        </w:tc>
        <w:tc>
          <w:tcPr>
            <w:tcW w:w="8788" w:type="dxa"/>
            <w:gridSpan w:val="2"/>
          </w:tcPr>
          <w:p w14:paraId="597DA158" w14:textId="77777777" w:rsidR="007D1E2B" w:rsidRPr="000F57AA" w:rsidRDefault="007D1E2B" w:rsidP="007D1E2B">
            <w:pPr>
              <w:spacing w:line="259" w:lineRule="auto"/>
              <w:ind w:firstLine="465"/>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Riscul de contraparte pentru SFT-uri încheiate în calitate de agent</w:t>
            </w:r>
          </w:p>
          <w:p w14:paraId="43A38456" w14:textId="0AAFD669" w:rsidR="007D1E2B" w:rsidRPr="000F57AA" w:rsidRDefault="007D1E2B" w:rsidP="007D1E2B">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Subpct.</w:t>
            </w:r>
            <w:r w:rsidR="00562345" w:rsidRPr="000F57AA">
              <w:rPr>
                <w:rFonts w:ascii="Times New Roman" w:eastAsia="Times New Roman" w:hAnsi="Times New Roman" w:cs="Times New Roman"/>
                <w:lang w:val="ro-RO"/>
              </w:rPr>
              <w:t>60.1</w:t>
            </w:r>
            <w:r w:rsidRPr="000F57AA">
              <w:rPr>
                <w:rFonts w:ascii="Times New Roman" w:eastAsia="Times New Roman" w:hAnsi="Times New Roman" w:cs="Times New Roman"/>
                <w:lang w:val="ro-RO"/>
              </w:rPr>
              <w:t xml:space="preserve"> și pct.</w:t>
            </w:r>
            <w:r w:rsidR="00562345" w:rsidRPr="000F57AA">
              <w:rPr>
                <w:rFonts w:ascii="Times New Roman" w:eastAsia="Times New Roman" w:hAnsi="Times New Roman" w:cs="Times New Roman"/>
                <w:lang w:val="ro-RO"/>
              </w:rPr>
              <w:t>55</w:t>
            </w:r>
            <w:r w:rsidRPr="000F57AA">
              <w:rPr>
                <w:rFonts w:ascii="Times New Roman" w:eastAsia="Times New Roman" w:hAnsi="Times New Roman" w:cs="Times New Roman"/>
                <w:lang w:val="ro-RO"/>
              </w:rPr>
              <w:t xml:space="preserve"> și </w:t>
            </w:r>
            <w:r w:rsidR="00562345" w:rsidRPr="000F57AA">
              <w:rPr>
                <w:rFonts w:ascii="Times New Roman" w:eastAsia="Times New Roman" w:hAnsi="Times New Roman" w:cs="Times New Roman"/>
                <w:lang w:val="ro-RO"/>
              </w:rPr>
              <w:t>56</w:t>
            </w:r>
            <w:r w:rsidRPr="000F57AA">
              <w:rPr>
                <w:rFonts w:ascii="Times New Roman" w:eastAsia="Times New Roman" w:hAnsi="Times New Roman" w:cs="Times New Roman"/>
                <w:lang w:val="ro-RO"/>
              </w:rPr>
              <w:t xml:space="preserve"> din Regulamentul nr.XX/2025.</w:t>
            </w:r>
          </w:p>
          <w:p w14:paraId="141D9203" w14:textId="655D3F48" w:rsidR="007D1E2B" w:rsidRPr="000F57AA" w:rsidRDefault="007D1E2B" w:rsidP="007D1E2B">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Valoarea expunerii în cazul SFT-urilor încheiate în calitate de agent, atunci când banca furnizează unui client sau unei contrapărţi o indemnizaţie sau o garanţie limitată la orice diferenţă între valoarea titlului de valoare sau a sumei în numerar pe care clientul a împrumutat-o și valoarea garanţiei reale pe care debitorul a furnizat-o în conformitate cu subpct.</w:t>
            </w:r>
            <w:r w:rsidR="00562345" w:rsidRPr="000F57AA">
              <w:rPr>
                <w:rFonts w:ascii="Times New Roman" w:eastAsia="Times New Roman" w:hAnsi="Times New Roman" w:cs="Times New Roman"/>
                <w:lang w:val="ro-RO"/>
              </w:rPr>
              <w:t>60.1</w:t>
            </w:r>
            <w:r w:rsidRPr="000F57AA">
              <w:rPr>
                <w:rFonts w:ascii="Times New Roman" w:eastAsia="Times New Roman" w:hAnsi="Times New Roman" w:cs="Times New Roman"/>
                <w:lang w:val="ro-RO"/>
              </w:rPr>
              <w:t xml:space="preserve"> din Regulamentul nr.XX/2025, constă numai în majorarea determinată în conformitate cu pct.</w:t>
            </w:r>
            <w:r w:rsidR="00562345" w:rsidRPr="000F57AA">
              <w:rPr>
                <w:rFonts w:ascii="Times New Roman" w:eastAsia="Times New Roman" w:hAnsi="Times New Roman" w:cs="Times New Roman"/>
                <w:lang w:val="ro-RO"/>
              </w:rPr>
              <w:t>55</w:t>
            </w:r>
            <w:r w:rsidRPr="000F57AA">
              <w:rPr>
                <w:rFonts w:ascii="Times New Roman" w:eastAsia="Times New Roman" w:hAnsi="Times New Roman" w:cs="Times New Roman"/>
                <w:lang w:val="ro-RO"/>
              </w:rPr>
              <w:t xml:space="preserve"> sau </w:t>
            </w:r>
            <w:r w:rsidR="00562345" w:rsidRPr="000F57AA">
              <w:rPr>
                <w:rFonts w:ascii="Times New Roman" w:eastAsia="Times New Roman" w:hAnsi="Times New Roman" w:cs="Times New Roman"/>
                <w:lang w:val="ro-RO"/>
              </w:rPr>
              <w:t>56</w:t>
            </w:r>
            <w:r w:rsidRPr="000F57AA">
              <w:rPr>
                <w:rFonts w:ascii="Times New Roman" w:eastAsia="Times New Roman" w:hAnsi="Times New Roman" w:cs="Times New Roman"/>
                <w:lang w:val="ro-RO"/>
              </w:rPr>
              <w:t xml:space="preserve"> din Regulamentul nr.XX/2025, după caz.</w:t>
            </w:r>
          </w:p>
          <w:p w14:paraId="5D34E0FF" w14:textId="14A38393" w:rsidR="007D1E2B" w:rsidRPr="000F57AA" w:rsidRDefault="007D1E2B" w:rsidP="007D1E2B">
            <w:pPr>
              <w:spacing w:line="259" w:lineRule="auto"/>
              <w:ind w:firstLine="465"/>
              <w:rPr>
                <w:rFonts w:ascii="Times New Roman" w:eastAsia="Times New Roman" w:hAnsi="Times New Roman" w:cs="Times New Roman"/>
                <w:lang w:val="ro-RO"/>
              </w:rPr>
            </w:pPr>
            <w:r w:rsidRPr="000F57AA">
              <w:rPr>
                <w:rFonts w:ascii="Times New Roman" w:eastAsia="Times New Roman" w:hAnsi="Times New Roman" w:cs="Times New Roman"/>
                <w:lang w:val="ro-RO"/>
              </w:rPr>
              <w:t>Băncile nu includ în această celulă tranzacţiile prevăzute la pct.</w:t>
            </w:r>
            <w:r w:rsidR="00562345" w:rsidRPr="000F57AA">
              <w:rPr>
                <w:rFonts w:ascii="Times New Roman" w:eastAsia="Times New Roman" w:hAnsi="Times New Roman" w:cs="Times New Roman"/>
                <w:lang w:val="ro-RO"/>
              </w:rPr>
              <w:t>60.3</w:t>
            </w:r>
            <w:r w:rsidRPr="000F57AA">
              <w:rPr>
                <w:rFonts w:ascii="Times New Roman" w:eastAsia="Times New Roman" w:hAnsi="Times New Roman" w:cs="Times New Roman"/>
                <w:lang w:val="ro-RO"/>
              </w:rPr>
              <w:t xml:space="preserve"> din Regulamentul nr.XX/2025. Băncile includ însă elementele respective în {0010;0010} și {0020;0010} sau {0010;0010} și {0030;0010}, după caz.</w:t>
            </w:r>
          </w:p>
        </w:tc>
      </w:tr>
      <w:tr w:rsidR="008408DB" w:rsidRPr="00A05A6A" w14:paraId="50D1FA2C" w14:textId="77777777" w:rsidTr="00652989">
        <w:trPr>
          <w:trHeight w:val="190"/>
        </w:trPr>
        <w:tc>
          <w:tcPr>
            <w:tcW w:w="988" w:type="dxa"/>
          </w:tcPr>
          <w:p w14:paraId="14ED5A77" w14:textId="4C3958B8" w:rsidR="008408DB" w:rsidRPr="000F57AA" w:rsidRDefault="008408DB" w:rsidP="008408DB">
            <w:pPr>
              <w:rPr>
                <w:rFonts w:ascii="Times New Roman" w:eastAsia="Times New Roman" w:hAnsi="Times New Roman" w:cs="Times New Roman"/>
                <w:lang w:val="ro-RO"/>
              </w:rPr>
            </w:pPr>
            <w:r w:rsidRPr="000F57AA">
              <w:rPr>
                <w:rFonts w:ascii="Times New Roman" w:hAnsi="Times New Roman" w:cs="Times New Roman"/>
                <w:lang w:val="ro-RO"/>
              </w:rPr>
              <w:t>{0050;0010}</w:t>
            </w:r>
          </w:p>
        </w:tc>
        <w:tc>
          <w:tcPr>
            <w:tcW w:w="8788" w:type="dxa"/>
            <w:gridSpan w:val="2"/>
          </w:tcPr>
          <w:p w14:paraId="4F0D7611" w14:textId="77777777" w:rsidR="008408DB" w:rsidRPr="000F57AA" w:rsidRDefault="008408DB" w:rsidP="008408DB">
            <w:pPr>
              <w:ind w:right="90" w:firstLine="465"/>
              <w:rPr>
                <w:rFonts w:ascii="Times New Roman" w:hAnsi="Times New Roman" w:cs="Times New Roman"/>
                <w:b/>
                <w:bCs/>
                <w:lang w:val="ro-RO"/>
              </w:rPr>
            </w:pPr>
            <w:r w:rsidRPr="000F57AA">
              <w:rPr>
                <w:rFonts w:ascii="Times New Roman" w:hAnsi="Times New Roman" w:cs="Times New Roman"/>
                <w:b/>
                <w:bCs/>
                <w:lang w:val="ro-RO"/>
              </w:rPr>
              <w:t>(–) Segmentul CPC exclus din expunerile aferente SFT-urilor compensate</w:t>
            </w:r>
          </w:p>
          <w:p w14:paraId="5277413E" w14:textId="77777777" w:rsidR="008408DB" w:rsidRPr="000F57AA" w:rsidRDefault="008408DB" w:rsidP="00246FE9">
            <w:pPr>
              <w:ind w:right="90"/>
              <w:rPr>
                <w:rFonts w:ascii="Times New Roman" w:hAnsi="Times New Roman" w:cs="Times New Roman"/>
                <w:b/>
                <w:bCs/>
                <w:lang w:val="ro-RO"/>
              </w:rPr>
            </w:pPr>
            <w:r w:rsidRPr="000F57AA">
              <w:rPr>
                <w:rFonts w:ascii="Times New Roman" w:hAnsi="Times New Roman" w:cs="Times New Roman"/>
                <w:b/>
                <w:bCs/>
                <w:lang w:val="ro-RO"/>
              </w:rPr>
              <w:t>pentru clienţi</w:t>
            </w:r>
          </w:p>
          <w:p w14:paraId="1FD3005D" w14:textId="36D44464" w:rsidR="00FD21D1" w:rsidRPr="000F57AA" w:rsidRDefault="008408DB" w:rsidP="00FD21D1">
            <w:pPr>
              <w:ind w:right="90" w:firstLine="465"/>
              <w:rPr>
                <w:rFonts w:ascii="Times New Roman" w:hAnsi="Times New Roman" w:cs="Times New Roman"/>
                <w:lang w:val="ro-RO"/>
              </w:rPr>
            </w:pPr>
            <w:r w:rsidRPr="000F57AA">
              <w:rPr>
                <w:rFonts w:ascii="Times New Roman" w:hAnsi="Times New Roman" w:cs="Times New Roman"/>
                <w:lang w:val="ro-RO"/>
              </w:rPr>
              <w:t>Subpct.19.</w:t>
            </w:r>
            <w:r w:rsidR="00FE1A6B" w:rsidRPr="000F57AA">
              <w:rPr>
                <w:rFonts w:ascii="Times New Roman" w:hAnsi="Times New Roman" w:cs="Times New Roman"/>
                <w:lang w:val="ro-RO"/>
              </w:rPr>
              <w:t>4</w:t>
            </w:r>
            <w:r w:rsidRPr="000F57AA">
              <w:rPr>
                <w:rFonts w:ascii="Times New Roman" w:hAnsi="Times New Roman" w:cs="Times New Roman"/>
                <w:lang w:val="ro-RO"/>
              </w:rPr>
              <w:t xml:space="preserve"> din din Regulamentul nr.XX/2025 și subpct.130.3 din Regulamentul </w:t>
            </w:r>
            <w:r w:rsidR="00FD21D1" w:rsidRPr="000F57AA">
              <w:rPr>
                <w:rFonts w:ascii="Times New Roman" w:hAnsi="Times New Roman" w:cs="Times New Roman"/>
                <w:lang w:val="ro-RO"/>
              </w:rPr>
              <w:t>nr.YY</w:t>
            </w:r>
            <w:r w:rsidR="00770CD7" w:rsidRPr="000F57AA">
              <w:rPr>
                <w:rFonts w:ascii="Times New Roman" w:hAnsi="Times New Roman" w:cs="Times New Roman"/>
                <w:lang w:val="ro-RO"/>
              </w:rPr>
              <w:t>/2025</w:t>
            </w:r>
            <w:r w:rsidRPr="000F57AA" w:rsidDel="00737E43">
              <w:rPr>
                <w:rFonts w:ascii="Times New Roman" w:hAnsi="Times New Roman" w:cs="Times New Roman"/>
                <w:lang w:val="ro-RO"/>
              </w:rPr>
              <w:t xml:space="preserve"> </w:t>
            </w:r>
          </w:p>
          <w:p w14:paraId="440EC3E9" w14:textId="36D886BE" w:rsidR="008408DB" w:rsidRPr="000F57AA" w:rsidRDefault="008408DB" w:rsidP="00FD21D1">
            <w:pPr>
              <w:ind w:right="90" w:firstLine="465"/>
              <w:rPr>
                <w:rFonts w:ascii="Times New Roman" w:hAnsi="Times New Roman" w:cs="Times New Roman"/>
                <w:lang w:val="ro-RO"/>
              </w:rPr>
            </w:pPr>
            <w:r w:rsidRPr="000F57AA">
              <w:rPr>
                <w:rFonts w:ascii="Times New Roman" w:hAnsi="Times New Roman" w:cs="Times New Roman"/>
                <w:lang w:val="ro-RO"/>
              </w:rPr>
              <w:t>Segmentul CPC exclus din expunerile aferente SFT-urilor compensate pentru clienţi, dacă respectivele elemente îndeplinesc condiţiile prevăzute la subpct.130.3 din Regulamentul</w:t>
            </w:r>
            <w:r w:rsidR="001B2959" w:rsidRPr="000F57AA">
              <w:rPr>
                <w:rFonts w:ascii="Times New Roman" w:hAnsi="Times New Roman" w:cs="Times New Roman"/>
                <w:lang w:val="ro-RO"/>
              </w:rPr>
              <w:t xml:space="preserve"> </w:t>
            </w:r>
            <w:r w:rsidRPr="000F57AA">
              <w:rPr>
                <w:rFonts w:ascii="Times New Roman" w:hAnsi="Times New Roman" w:cs="Times New Roman"/>
                <w:lang w:val="ro-RO"/>
              </w:rPr>
              <w:t xml:space="preserve"> </w:t>
            </w:r>
            <w:r w:rsidR="00770CD7" w:rsidRPr="000F57AA">
              <w:rPr>
                <w:rFonts w:ascii="Times New Roman" w:hAnsi="Times New Roman" w:cs="Times New Roman"/>
                <w:lang w:val="ro-RO"/>
              </w:rPr>
              <w:t>nr.YY/2025</w:t>
            </w:r>
            <w:r w:rsidRPr="000F57AA">
              <w:rPr>
                <w:rFonts w:ascii="Times New Roman" w:hAnsi="Times New Roman" w:cs="Times New Roman"/>
                <w:lang w:val="ro-RO"/>
              </w:rPr>
              <w:t>.</w:t>
            </w:r>
          </w:p>
          <w:p w14:paraId="64E9182D" w14:textId="1C70A93B" w:rsidR="008408DB" w:rsidRPr="000F57AA" w:rsidRDefault="008408DB" w:rsidP="008408DB">
            <w:pPr>
              <w:ind w:right="90" w:firstLine="465"/>
              <w:rPr>
                <w:rFonts w:ascii="Times New Roman" w:hAnsi="Times New Roman" w:cs="Times New Roman"/>
                <w:lang w:val="ro-RO"/>
              </w:rPr>
            </w:pPr>
            <w:r w:rsidRPr="000F57AA">
              <w:rPr>
                <w:rFonts w:ascii="Times New Roman" w:hAnsi="Times New Roman" w:cs="Times New Roman"/>
                <w:lang w:val="ro-RO"/>
              </w:rPr>
              <w:t>A</w:t>
            </w:r>
            <w:r w:rsidR="0043115C" w:rsidRPr="000F57AA">
              <w:rPr>
                <w:rFonts w:ascii="Times New Roman" w:hAnsi="Times New Roman" w:cs="Times New Roman"/>
                <w:lang w:val="ro-RO"/>
              </w:rPr>
              <w:t>t</w:t>
            </w:r>
            <w:r w:rsidRPr="000F57AA">
              <w:rPr>
                <w:rFonts w:ascii="Times New Roman" w:hAnsi="Times New Roman" w:cs="Times New Roman"/>
                <w:lang w:val="ro-RO"/>
              </w:rPr>
              <w:t>unci când este un titlu de valoare, segmentul CPC exclus nu se raportează în această celulă decât dacă este un titlu de valoare regajat care, în temeiul cadrului contabil aplicabil [și anume, în conformitate cu pct.5 din Regulamentul nr.111/2018], este inclus la valoarea sa totală.</w:t>
            </w:r>
          </w:p>
          <w:p w14:paraId="3871FF94" w14:textId="35315C2E" w:rsidR="008408DB" w:rsidRPr="000F57AA" w:rsidRDefault="008408DB" w:rsidP="008408DB">
            <w:pPr>
              <w:ind w:right="90" w:firstLine="465"/>
              <w:rPr>
                <w:rFonts w:ascii="Times New Roman" w:hAnsi="Times New Roman" w:cs="Times New Roman"/>
                <w:lang w:val="ro-RO"/>
              </w:rPr>
            </w:pPr>
            <w:r w:rsidRPr="000F57AA">
              <w:rPr>
                <w:rFonts w:ascii="Times New Roman" w:hAnsi="Times New Roman" w:cs="Times New Roman"/>
                <w:lang w:val="ro-RO"/>
              </w:rPr>
              <w:t>Băncile includ cuantumul raportat în această celulă, ca și cum nu s-ar aplica nicio excludere, și în {0010;0010}, {0020;0010} și {0030;0010} și, dacă este un titlu de valoare regajat care, în temeiul cadrului contabil aplicabil, este inclus la valoarea sa totală, în {0190;0010}.</w:t>
            </w:r>
          </w:p>
          <w:p w14:paraId="70B4529B" w14:textId="0866B46D" w:rsidR="008408DB" w:rsidRPr="000F57AA" w:rsidRDefault="008408DB" w:rsidP="008408DB">
            <w:pPr>
              <w:ind w:firstLine="465"/>
              <w:rPr>
                <w:rFonts w:ascii="Times New Roman" w:eastAsia="Times New Roman" w:hAnsi="Times New Roman" w:cs="Times New Roman"/>
                <w:b/>
                <w:bCs/>
                <w:lang w:val="ro-RO"/>
              </w:rPr>
            </w:pPr>
            <w:r w:rsidRPr="000F57AA">
              <w:rPr>
                <w:rFonts w:ascii="Times New Roman" w:hAnsi="Times New Roman" w:cs="Times New Roman"/>
                <w:lang w:val="ro-RO"/>
              </w:rPr>
              <w:t>Atunci când pentru un segment exclus al unui SFT a furnizat o marjă iniţială care este raportată în {0190;0010} și neraportată în {0020;0010} sau {0030;0010}, banca poate raporta marja respectivă în această celulă.</w:t>
            </w:r>
          </w:p>
        </w:tc>
      </w:tr>
      <w:tr w:rsidR="002465FC" w:rsidRPr="00A05A6A" w14:paraId="5CF45796" w14:textId="77777777" w:rsidTr="00652989">
        <w:trPr>
          <w:trHeight w:val="56"/>
        </w:trPr>
        <w:tc>
          <w:tcPr>
            <w:tcW w:w="988" w:type="dxa"/>
          </w:tcPr>
          <w:p w14:paraId="2FC93F55" w14:textId="77777777" w:rsidR="002465FC" w:rsidRPr="000F57AA" w:rsidRDefault="002465FC" w:rsidP="00CB5368">
            <w:pPr>
              <w:ind w:right="90"/>
              <w:rPr>
                <w:rFonts w:ascii="Times New Roman" w:hAnsi="Times New Roman" w:cs="Times New Roman"/>
                <w:lang w:val="ro-RO"/>
              </w:rPr>
            </w:pPr>
            <w:r w:rsidRPr="000F57AA">
              <w:rPr>
                <w:rFonts w:ascii="Times New Roman" w:hAnsi="Times New Roman" w:cs="Times New Roman"/>
                <w:lang w:val="ro-RO"/>
              </w:rPr>
              <w:t>{0061;0010}</w:t>
            </w:r>
          </w:p>
        </w:tc>
        <w:tc>
          <w:tcPr>
            <w:tcW w:w="8788" w:type="dxa"/>
            <w:gridSpan w:val="2"/>
          </w:tcPr>
          <w:p w14:paraId="568F6509" w14:textId="1193DE06" w:rsidR="002465FC" w:rsidRPr="000F57AA" w:rsidRDefault="002465FC" w:rsidP="002465FC">
            <w:pPr>
              <w:ind w:right="90" w:firstLine="465"/>
              <w:rPr>
                <w:rFonts w:ascii="Times New Roman" w:hAnsi="Times New Roman" w:cs="Times New Roman"/>
                <w:b/>
                <w:bCs/>
                <w:lang w:val="ro-RO"/>
              </w:rPr>
            </w:pPr>
            <w:r w:rsidRPr="000F57AA">
              <w:rPr>
                <w:rFonts w:ascii="Times New Roman" w:hAnsi="Times New Roman" w:cs="Times New Roman"/>
                <w:b/>
                <w:bCs/>
                <w:lang w:val="ro-RO"/>
              </w:rPr>
              <w:t>Instrumente financiare derivate: contribuţia la costul de înlocuire în cadrul SA-CCR [fără efectul garanţiei reale asupra NICA]</w:t>
            </w:r>
          </w:p>
          <w:p w14:paraId="5623FD35" w14:textId="7777777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Pct.32-34 din Regulamentul nr.XX/2025</w:t>
            </w:r>
          </w:p>
          <w:p w14:paraId="3DB5CC85" w14:textId="27A9B4E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 xml:space="preserve">Costul de înlocuire conform pct.37-39 din Regulamentul </w:t>
            </w:r>
            <w:r w:rsidR="00770CD7" w:rsidRPr="000F57AA">
              <w:rPr>
                <w:rFonts w:ascii="Times New Roman" w:hAnsi="Times New Roman" w:cs="Times New Roman"/>
                <w:lang w:val="ro-RO"/>
              </w:rPr>
              <w:t>nr.YY/2025</w:t>
            </w:r>
            <w:r w:rsidRPr="000F57AA">
              <w:rPr>
                <w:rFonts w:ascii="Times New Roman" w:hAnsi="Times New Roman" w:cs="Times New Roman"/>
                <w:lang w:val="ro-RO"/>
              </w:rPr>
              <w:t>, fără efectul garanţiei reale asupra NICA și fără efectul niciunei marje de variaţie. În scopul completării prezentei celule, băncile nu aplică derogările prevăzute la pct.36-39 și</w:t>
            </w:r>
            <w:r w:rsidR="00FE1A6B" w:rsidRPr="000F57AA">
              <w:rPr>
                <w:rFonts w:ascii="Times New Roman" w:hAnsi="Times New Roman" w:cs="Times New Roman"/>
                <w:lang w:val="ro-RO"/>
              </w:rPr>
              <w:t xml:space="preserve"> </w:t>
            </w:r>
            <w:r w:rsidRPr="000F57AA">
              <w:rPr>
                <w:rFonts w:ascii="Times New Roman" w:hAnsi="Times New Roman" w:cs="Times New Roman"/>
                <w:lang w:val="ro-RO"/>
              </w:rPr>
              <w:t>40 și la subpct.19.</w:t>
            </w:r>
            <w:r w:rsidR="00FE1A6B"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 Cuantumul se raportează după aplicarea factorului α 1,4, astfel cum se precizează la pct.31 din Regulamentul </w:t>
            </w:r>
            <w:r w:rsidR="00770CD7" w:rsidRPr="000F57AA">
              <w:rPr>
                <w:rFonts w:ascii="Times New Roman" w:hAnsi="Times New Roman" w:cs="Times New Roman"/>
                <w:lang w:val="ro-RO"/>
              </w:rPr>
              <w:t>nr.YY/2025</w:t>
            </w:r>
            <w:r w:rsidRPr="000F57AA">
              <w:rPr>
                <w:rFonts w:ascii="Times New Roman" w:hAnsi="Times New Roman" w:cs="Times New Roman"/>
                <w:lang w:val="ro-RO"/>
              </w:rPr>
              <w:t>.</w:t>
            </w:r>
          </w:p>
          <w:p w14:paraId="0273E43C" w14:textId="256B82B4"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 xml:space="preserve">Astfel cum este stabilit la pct.19 din Regulamentul nr.XX/2025, băncile pot să ia în considerare efectele contractelor de novaţie și ale altor acorduri de compensare în conformitate cu pct.95-96 din Regulamentul </w:t>
            </w:r>
            <w:r w:rsidR="00770CD7" w:rsidRPr="000F57AA">
              <w:rPr>
                <w:rFonts w:ascii="Times New Roman" w:hAnsi="Times New Roman" w:cs="Times New Roman"/>
                <w:lang w:val="ro-RO"/>
              </w:rPr>
              <w:t>nr.YY/2025</w:t>
            </w:r>
            <w:r w:rsidRPr="000F57AA">
              <w:rPr>
                <w:rFonts w:ascii="Times New Roman" w:hAnsi="Times New Roman" w:cs="Times New Roman"/>
                <w:lang w:val="ro-RO"/>
              </w:rPr>
              <w:t xml:space="preserve">. Compensarea între produse diferite nu se aplică. </w:t>
            </w:r>
          </w:p>
          <w:p w14:paraId="33078413" w14:textId="7777777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Băncile includ toate instrumentele financiare derivate de credit, nu numai pe cele din portofoliul de tranzacţionare.</w:t>
            </w:r>
          </w:p>
          <w:p w14:paraId="4262A22C" w14:textId="7777777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Băncile nu includ în această celulă contractele măsurate prin aplicarea abordării standardizate simplificate sau a metodei expunerii iniţiale.</w:t>
            </w:r>
          </w:p>
        </w:tc>
      </w:tr>
      <w:tr w:rsidR="002465FC" w:rsidRPr="00A05A6A" w14:paraId="19273498" w14:textId="77777777" w:rsidTr="00652989">
        <w:trPr>
          <w:trHeight w:val="56"/>
        </w:trPr>
        <w:tc>
          <w:tcPr>
            <w:tcW w:w="988" w:type="dxa"/>
          </w:tcPr>
          <w:p w14:paraId="07ECBD8D" w14:textId="77777777" w:rsidR="002465FC" w:rsidRPr="000F57AA" w:rsidRDefault="002465FC" w:rsidP="00CB5368">
            <w:pPr>
              <w:ind w:right="90"/>
              <w:rPr>
                <w:rFonts w:ascii="Times New Roman" w:hAnsi="Times New Roman" w:cs="Times New Roman"/>
                <w:lang w:val="ro-RO"/>
              </w:rPr>
            </w:pPr>
            <w:r w:rsidRPr="000F57AA">
              <w:rPr>
                <w:rFonts w:ascii="Times New Roman" w:hAnsi="Times New Roman" w:cs="Times New Roman"/>
                <w:lang w:val="ro-RO"/>
              </w:rPr>
              <w:t>{0065;0010}</w:t>
            </w:r>
          </w:p>
        </w:tc>
        <w:tc>
          <w:tcPr>
            <w:tcW w:w="8788" w:type="dxa"/>
            <w:gridSpan w:val="2"/>
          </w:tcPr>
          <w:p w14:paraId="20307802" w14:textId="77777777" w:rsidR="002465FC" w:rsidRPr="000F57AA" w:rsidRDefault="002465FC" w:rsidP="002465FC">
            <w:pPr>
              <w:ind w:right="90" w:firstLine="465"/>
              <w:rPr>
                <w:rFonts w:ascii="Times New Roman" w:hAnsi="Times New Roman" w:cs="Times New Roman"/>
                <w:b/>
                <w:bCs/>
                <w:lang w:val="ro-RO"/>
              </w:rPr>
            </w:pPr>
            <w:r w:rsidRPr="000F57AA">
              <w:rPr>
                <w:rFonts w:ascii="Times New Roman" w:hAnsi="Times New Roman" w:cs="Times New Roman"/>
                <w:b/>
                <w:bCs/>
                <w:lang w:val="ro-RO"/>
              </w:rPr>
              <w:t>(–) Efectul recunoașterii garanţiilor reale asupra NICA în cazul tranzacţiilor încheiate cu clienţi care sunt compensate de o CPCC (costul de înlocuire în cadrul SA-CCR)</w:t>
            </w:r>
          </w:p>
          <w:p w14:paraId="7E789786" w14:textId="7777777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Pct.40 din Regulamentul nr.XX/2025</w:t>
            </w:r>
          </w:p>
          <w:p w14:paraId="7359F5B9" w14:textId="4707ECEC"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 xml:space="preserve">Aplicarea derogării prevăzute la pct.40 din Regulamentul nr.XX/2025 asupra calculării costului de înlocuire în cazul contractelor derivate încheiate cu clienţi care sunt compensate de </w:t>
            </w:r>
            <w:r w:rsidRPr="000F57AA">
              <w:rPr>
                <w:rFonts w:ascii="Times New Roman" w:hAnsi="Times New Roman" w:cs="Times New Roman"/>
                <w:lang w:val="ro-RO"/>
              </w:rPr>
              <w:lastRenderedPageBreak/>
              <w:t xml:space="preserve">o CPCC. Cuantumul se raportează după aplicarea factorului α 1,4, astfel cum se precizează la pct.31 din Regulamentul </w:t>
            </w:r>
            <w:r w:rsidR="00770CD7" w:rsidRPr="000F57AA">
              <w:rPr>
                <w:rFonts w:ascii="Times New Roman" w:hAnsi="Times New Roman" w:cs="Times New Roman"/>
                <w:lang w:val="ro-RO"/>
              </w:rPr>
              <w:t>nr.YY/2025</w:t>
            </w:r>
            <w:r w:rsidRPr="000F57AA">
              <w:rPr>
                <w:rFonts w:ascii="Times New Roman" w:hAnsi="Times New Roman" w:cs="Times New Roman"/>
                <w:lang w:val="ro-RO"/>
              </w:rPr>
              <w:t>.</w:t>
            </w:r>
          </w:p>
          <w:p w14:paraId="4AA0E2BC" w14:textId="294D3E97" w:rsidR="002465FC" w:rsidRPr="000F57AA" w:rsidRDefault="002465FC" w:rsidP="002465FC">
            <w:pPr>
              <w:ind w:right="90" w:firstLine="465"/>
              <w:rPr>
                <w:rFonts w:ascii="Times New Roman" w:hAnsi="Times New Roman" w:cs="Times New Roman"/>
                <w:lang w:val="ro-RO"/>
              </w:rPr>
            </w:pPr>
            <w:r w:rsidRPr="000F57AA">
              <w:rPr>
                <w:rFonts w:ascii="Times New Roman" w:hAnsi="Times New Roman" w:cs="Times New Roman"/>
                <w:lang w:val="ro-RO"/>
              </w:rPr>
              <w:t>Băncile includ cuantumul raportat în această celulă și în {0061;0010}, ca și cum nu s-ar aplica nicio derogare.</w:t>
            </w:r>
          </w:p>
        </w:tc>
      </w:tr>
      <w:tr w:rsidR="00860E90" w:rsidRPr="00A05A6A" w14:paraId="0A6CE149" w14:textId="77777777" w:rsidTr="00652989">
        <w:trPr>
          <w:trHeight w:val="190"/>
        </w:trPr>
        <w:tc>
          <w:tcPr>
            <w:tcW w:w="988" w:type="dxa"/>
          </w:tcPr>
          <w:p w14:paraId="01C4048C" w14:textId="78CD59F7" w:rsidR="00860E90" w:rsidRPr="000F57AA" w:rsidRDefault="00860E90" w:rsidP="00860E90">
            <w:pPr>
              <w:rPr>
                <w:rFonts w:ascii="Times New Roman" w:eastAsia="Times New Roman" w:hAnsi="Times New Roman" w:cs="Times New Roman"/>
                <w:lang w:val="ro-RO"/>
              </w:rPr>
            </w:pPr>
            <w:bookmarkStart w:id="7" w:name="_Hlk197420903"/>
            <w:r w:rsidRPr="000F57AA">
              <w:rPr>
                <w:rFonts w:ascii="Times New Roman" w:hAnsi="Times New Roman" w:cs="Times New Roman"/>
                <w:lang w:val="ro-RO"/>
              </w:rPr>
              <w:lastRenderedPageBreak/>
              <w:t>{0071;0010}</w:t>
            </w:r>
          </w:p>
        </w:tc>
        <w:tc>
          <w:tcPr>
            <w:tcW w:w="8788" w:type="dxa"/>
            <w:gridSpan w:val="2"/>
          </w:tcPr>
          <w:p w14:paraId="790156C2" w14:textId="77777777" w:rsidR="00860E90" w:rsidRPr="000F57AA" w:rsidRDefault="00860E90" w:rsidP="00860E90">
            <w:pPr>
              <w:ind w:right="90" w:firstLine="465"/>
              <w:rPr>
                <w:rFonts w:ascii="Times New Roman" w:hAnsi="Times New Roman" w:cs="Times New Roman"/>
                <w:b/>
                <w:bCs/>
                <w:lang w:val="ro-RO"/>
              </w:rPr>
            </w:pPr>
            <w:r w:rsidRPr="000F57AA">
              <w:rPr>
                <w:rFonts w:ascii="Times New Roman" w:hAnsi="Times New Roman" w:cs="Times New Roman"/>
                <w:b/>
                <w:bCs/>
                <w:lang w:val="ro-RO"/>
              </w:rPr>
              <w:t>(–) Efectul deducerii marjei de variaţie în numerar eligibile primite din valoarea de piaţă a instrumentelor financiare derivate (costul de înlocuire în cadrul SA-CCR)</w:t>
            </w:r>
          </w:p>
          <w:p w14:paraId="436A3E66" w14:textId="35BD7C8E" w:rsidR="00860E90" w:rsidRPr="000F57AA" w:rsidRDefault="00860E90" w:rsidP="00860E90">
            <w:pPr>
              <w:ind w:right="90" w:firstLine="465"/>
              <w:rPr>
                <w:rFonts w:ascii="Times New Roman" w:hAnsi="Times New Roman" w:cs="Times New Roman"/>
                <w:lang w:val="ro-RO"/>
              </w:rPr>
            </w:pPr>
            <w:r w:rsidRPr="000F57AA">
              <w:rPr>
                <w:rFonts w:ascii="Times New Roman" w:hAnsi="Times New Roman" w:cs="Times New Roman"/>
                <w:lang w:val="ro-RO"/>
              </w:rPr>
              <w:t>Pct.</w:t>
            </w:r>
            <w:r w:rsidR="00561B99" w:rsidRPr="000F57AA">
              <w:rPr>
                <w:rFonts w:ascii="Times New Roman" w:hAnsi="Times New Roman" w:cs="Times New Roman"/>
                <w:lang w:val="ro-RO"/>
              </w:rPr>
              <w:t>36-39</w:t>
            </w:r>
            <w:r w:rsidRPr="000F57AA">
              <w:rPr>
                <w:rFonts w:ascii="Times New Roman" w:hAnsi="Times New Roman" w:cs="Times New Roman"/>
                <w:lang w:val="ro-RO"/>
              </w:rPr>
              <w:t xml:space="preserve"> din Regulamentul nr.XX/2025</w:t>
            </w:r>
          </w:p>
          <w:p w14:paraId="5DE89483" w14:textId="6F295AEB" w:rsidR="00860E90" w:rsidRPr="000F57AA" w:rsidRDefault="00860E90" w:rsidP="00860E90">
            <w:pPr>
              <w:ind w:right="90" w:firstLine="465"/>
              <w:rPr>
                <w:rFonts w:ascii="Times New Roman" w:hAnsi="Times New Roman" w:cs="Times New Roman"/>
                <w:lang w:val="ro-RO"/>
              </w:rPr>
            </w:pPr>
            <w:r w:rsidRPr="000F57AA">
              <w:rPr>
                <w:rFonts w:ascii="Times New Roman" w:hAnsi="Times New Roman" w:cs="Times New Roman"/>
                <w:lang w:val="ro-RO"/>
              </w:rPr>
              <w:t>Marja de variaţie primită în numerar de la contraparte și eligibilă pentru deducere din partea reprezentată de costul de înlocuire din expunerea instrumentelor financiare derivate, în conformitate cu pct.36-39 din Regulamentul nr.XX/2025. Cuantumul se raportează după aplicarea factorului α 1,4, astfel cum se precizează la pct.31 din Regulamentul</w:t>
            </w:r>
            <w:r w:rsidR="00950C6C" w:rsidRPr="000F57AA">
              <w:rPr>
                <w:rFonts w:ascii="Times New Roman" w:hAnsi="Times New Roman" w:cs="Times New Roman"/>
                <w:lang w:val="ro-RO"/>
              </w:rPr>
              <w:t xml:space="preserve"> </w:t>
            </w:r>
            <w:r w:rsidR="007E30C0" w:rsidRPr="000F57AA">
              <w:rPr>
                <w:rFonts w:ascii="Times New Roman" w:hAnsi="Times New Roman" w:cs="Times New Roman"/>
                <w:lang w:val="ro-RO"/>
              </w:rPr>
              <w:t>nr.YY/2025</w:t>
            </w:r>
            <w:r w:rsidRPr="000F57AA">
              <w:rPr>
                <w:rFonts w:ascii="Times New Roman" w:hAnsi="Times New Roman" w:cs="Times New Roman"/>
                <w:lang w:val="ro-RO"/>
              </w:rPr>
              <w:t>.</w:t>
            </w:r>
          </w:p>
          <w:p w14:paraId="3E964E0A" w14:textId="56998D59" w:rsidR="00860E90" w:rsidRPr="000F57AA" w:rsidRDefault="00860E90" w:rsidP="00860E90">
            <w:pPr>
              <w:ind w:right="90" w:firstLine="465"/>
              <w:rPr>
                <w:rFonts w:ascii="Times New Roman" w:hAnsi="Times New Roman" w:cs="Times New Roman"/>
                <w:lang w:val="ro-RO"/>
              </w:rPr>
            </w:pPr>
            <w:r w:rsidRPr="000F57AA">
              <w:rPr>
                <w:rFonts w:ascii="Times New Roman" w:hAnsi="Times New Roman" w:cs="Times New Roman"/>
                <w:lang w:val="ro-RO"/>
              </w:rPr>
              <w:t>Nu se raportează eventuala marjă de variaţie în numerar primită pentru un segment CPC exclus, în conformitate cu 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57EF17B2" w14:textId="1C54FCCB" w:rsidR="00860E90" w:rsidRPr="000F57AA" w:rsidRDefault="00860E90" w:rsidP="00860E90">
            <w:pPr>
              <w:ind w:right="90"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cuantumul raportat în această celulă și în {0061;0010}, ca și cum nu s-ar aplica nicio deducere a marjei de variaţie în numerar.</w:t>
            </w:r>
          </w:p>
        </w:tc>
      </w:tr>
      <w:bookmarkEnd w:id="7"/>
      <w:tr w:rsidR="00860E90" w:rsidRPr="00A05A6A" w14:paraId="1B9255AC" w14:textId="77777777" w:rsidTr="00652989">
        <w:trPr>
          <w:trHeight w:val="190"/>
        </w:trPr>
        <w:tc>
          <w:tcPr>
            <w:tcW w:w="988" w:type="dxa"/>
          </w:tcPr>
          <w:p w14:paraId="6288B808" w14:textId="45EACECA" w:rsidR="00860E90" w:rsidRPr="000F57AA" w:rsidRDefault="00860E90" w:rsidP="00860E90">
            <w:pPr>
              <w:rPr>
                <w:rFonts w:ascii="Times New Roman" w:eastAsia="Times New Roman" w:hAnsi="Times New Roman" w:cs="Times New Roman"/>
                <w:lang w:val="ro-RO"/>
              </w:rPr>
            </w:pPr>
            <w:r w:rsidRPr="000F57AA">
              <w:rPr>
                <w:rFonts w:ascii="Times New Roman" w:hAnsi="Times New Roman" w:cs="Times New Roman"/>
                <w:lang w:val="ro-RO"/>
              </w:rPr>
              <w:t>{0081;0010}</w:t>
            </w:r>
          </w:p>
        </w:tc>
        <w:tc>
          <w:tcPr>
            <w:tcW w:w="8788" w:type="dxa"/>
            <w:gridSpan w:val="2"/>
          </w:tcPr>
          <w:p w14:paraId="5C0C01BC" w14:textId="77777777" w:rsidR="00860E90" w:rsidRPr="000F57AA" w:rsidRDefault="00860E90" w:rsidP="00860E90">
            <w:pPr>
              <w:ind w:right="90" w:firstLine="465"/>
              <w:rPr>
                <w:rFonts w:ascii="Times New Roman" w:hAnsi="Times New Roman" w:cs="Times New Roman"/>
                <w:b/>
                <w:bCs/>
                <w:lang w:val="ro-RO"/>
              </w:rPr>
            </w:pPr>
            <w:r w:rsidRPr="000F57AA">
              <w:rPr>
                <w:rFonts w:ascii="Times New Roman" w:hAnsi="Times New Roman" w:cs="Times New Roman"/>
                <w:b/>
                <w:bCs/>
                <w:lang w:val="ro-RO"/>
              </w:rPr>
              <w:t>(–) Efectul segmentului CPC exclus din expunerile aferente tranzacţiilor compensate pentru clienţi (costul de înlocuire în cadrul SA-CCR)</w:t>
            </w:r>
          </w:p>
          <w:p w14:paraId="396B5D03" w14:textId="77777777" w:rsidR="00950C6C" w:rsidRPr="000F57AA" w:rsidRDefault="00860E90" w:rsidP="00860E90">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71B93F5E" w14:textId="041D6A10" w:rsidR="00860E90" w:rsidRPr="000F57AA" w:rsidRDefault="00860E90" w:rsidP="00860E90">
            <w:pPr>
              <w:ind w:right="90" w:firstLine="465"/>
              <w:rPr>
                <w:rFonts w:ascii="Times New Roman" w:hAnsi="Times New Roman" w:cs="Times New Roman"/>
                <w:lang w:val="ro-RO"/>
              </w:rPr>
            </w:pPr>
            <w:r w:rsidRPr="000F57AA">
              <w:rPr>
                <w:rFonts w:ascii="Times New Roman" w:hAnsi="Times New Roman" w:cs="Times New Roman"/>
                <w:lang w:val="ro-RO"/>
              </w:rPr>
              <w:t xml:space="preserve">Partea reprezentată de costul de înlocuire din expunerile faţă de o CPCC excluse din tranzacţiile cu instrumente financiare derivate compensate pentru clienţi, dacă respectivele elemente îndeplinesc condiţiile prevăzute la subpct.130.3 din Regulamentul </w:t>
            </w:r>
            <w:r w:rsidR="007E30C0" w:rsidRPr="000F57AA">
              <w:rPr>
                <w:rFonts w:ascii="Times New Roman" w:hAnsi="Times New Roman" w:cs="Times New Roman"/>
                <w:lang w:val="ro-RO"/>
              </w:rPr>
              <w:t>nr.YY/2025</w:t>
            </w:r>
            <w:r w:rsidRPr="000F57AA">
              <w:rPr>
                <w:rFonts w:ascii="Times New Roman" w:hAnsi="Times New Roman" w:cs="Times New Roman"/>
                <w:lang w:val="ro-RO"/>
              </w:rPr>
              <w:t xml:space="preserve">. Acest cuantum se raportează la valoarea brută, adică fără deducerea marjei de variaţie în numerar primite în cadrul acestui segment. Cuantumul se raportează după aplicarea factorului α 1,4, astfel cum se precizează la pct.31 din Regulamentul </w:t>
            </w:r>
            <w:r w:rsidR="0026291A" w:rsidRPr="000F57AA">
              <w:rPr>
                <w:rFonts w:ascii="Times New Roman" w:hAnsi="Times New Roman" w:cs="Times New Roman"/>
                <w:lang w:val="ro-RO"/>
              </w:rPr>
              <w:t xml:space="preserve"> </w:t>
            </w:r>
            <w:r w:rsidR="007E30C0" w:rsidRPr="000F57AA">
              <w:rPr>
                <w:rFonts w:ascii="Times New Roman" w:hAnsi="Times New Roman" w:cs="Times New Roman"/>
                <w:lang w:val="ro-RO"/>
              </w:rPr>
              <w:t>nr.YY/2025</w:t>
            </w:r>
            <w:r w:rsidRPr="000F57AA">
              <w:rPr>
                <w:rFonts w:ascii="Times New Roman" w:hAnsi="Times New Roman" w:cs="Times New Roman"/>
                <w:lang w:val="ro-RO"/>
              </w:rPr>
              <w:t>.</w:t>
            </w:r>
          </w:p>
          <w:p w14:paraId="3208EDAA" w14:textId="6AC0DF93" w:rsidR="00860E90" w:rsidRPr="000F57AA" w:rsidRDefault="00860E90" w:rsidP="00860E90">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valoarea raportată în această celulă și în {0061;0010}, ca și cum nu s-ar aplica nicio excludere.</w:t>
            </w:r>
          </w:p>
        </w:tc>
      </w:tr>
      <w:tr w:rsidR="00D012B6" w:rsidRPr="00A05A6A" w14:paraId="15064B97" w14:textId="77777777" w:rsidTr="00652989">
        <w:trPr>
          <w:trHeight w:val="190"/>
        </w:trPr>
        <w:tc>
          <w:tcPr>
            <w:tcW w:w="988" w:type="dxa"/>
          </w:tcPr>
          <w:p w14:paraId="53DB9BCE" w14:textId="0F7376B9" w:rsidR="00D012B6" w:rsidRPr="000F57AA" w:rsidRDefault="00D012B6" w:rsidP="00D012B6">
            <w:pPr>
              <w:rPr>
                <w:rFonts w:ascii="Times New Roman" w:eastAsia="Times New Roman" w:hAnsi="Times New Roman" w:cs="Times New Roman"/>
                <w:lang w:val="ro-RO"/>
              </w:rPr>
            </w:pPr>
            <w:r w:rsidRPr="000F57AA">
              <w:rPr>
                <w:rFonts w:ascii="Times New Roman" w:hAnsi="Times New Roman" w:cs="Times New Roman"/>
                <w:lang w:val="ro-RO"/>
              </w:rPr>
              <w:t>{0091;0010}</w:t>
            </w:r>
          </w:p>
        </w:tc>
        <w:tc>
          <w:tcPr>
            <w:tcW w:w="8788" w:type="dxa"/>
            <w:gridSpan w:val="2"/>
          </w:tcPr>
          <w:p w14:paraId="5B9E4B81" w14:textId="77777777" w:rsidR="00D012B6" w:rsidRPr="000F57AA" w:rsidRDefault="00D012B6" w:rsidP="00D012B6">
            <w:pPr>
              <w:ind w:right="90" w:firstLine="465"/>
              <w:rPr>
                <w:rFonts w:ascii="Times New Roman" w:hAnsi="Times New Roman" w:cs="Times New Roman"/>
                <w:b/>
                <w:bCs/>
                <w:lang w:val="ro-RO"/>
              </w:rPr>
            </w:pPr>
            <w:r w:rsidRPr="000F57AA">
              <w:rPr>
                <w:rFonts w:ascii="Times New Roman" w:hAnsi="Times New Roman" w:cs="Times New Roman"/>
                <w:b/>
                <w:bCs/>
                <w:lang w:val="ro-RO"/>
              </w:rPr>
              <w:t>Instrumente financiare derivate: contribuţia la expunerea viitoare potenţială în cadrul SA-CCR (multiplicatorul este egal cu 1)</w:t>
            </w:r>
          </w:p>
          <w:p w14:paraId="62C38BD2" w14:textId="0B65CA34"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Pct.</w:t>
            </w:r>
            <w:r w:rsidR="00B07FC6" w:rsidRPr="000F57AA">
              <w:rPr>
                <w:rFonts w:ascii="Times New Roman" w:hAnsi="Times New Roman" w:cs="Times New Roman"/>
                <w:lang w:val="ro-RO"/>
              </w:rPr>
              <w:t>42</w:t>
            </w:r>
            <w:r w:rsidRPr="000F57AA">
              <w:rPr>
                <w:rFonts w:ascii="Times New Roman" w:hAnsi="Times New Roman" w:cs="Times New Roman"/>
                <w:lang w:val="ro-RO"/>
              </w:rPr>
              <w:t xml:space="preserve"> din Regulamentul nr.XX/2025</w:t>
            </w:r>
          </w:p>
          <w:p w14:paraId="2AF5067A" w14:textId="7052E369" w:rsidR="00D012B6" w:rsidRPr="000F57AA" w:rsidRDefault="00D012B6" w:rsidP="00D012B6">
            <w:pPr>
              <w:ind w:right="90" w:firstLine="465"/>
              <w:rPr>
                <w:rFonts w:ascii="Times New Roman" w:eastAsia="Times New Roman" w:hAnsi="Times New Roman" w:cs="Times New Roman"/>
                <w:b/>
                <w:bCs/>
                <w:lang w:val="ro-RO"/>
              </w:rPr>
            </w:pPr>
            <w:r w:rsidRPr="000F57AA">
              <w:rPr>
                <w:rFonts w:ascii="Times New Roman" w:hAnsi="Times New Roman" w:cs="Times New Roman"/>
                <w:lang w:val="ro-RO"/>
              </w:rPr>
              <w:t>Expunerea viitoare potenţială conform pct.53-55 din Regulamentul</w:t>
            </w:r>
            <w:r w:rsidR="0026291A" w:rsidRPr="000F57AA">
              <w:rPr>
                <w:rFonts w:ascii="Times New Roman" w:hAnsi="Times New Roman" w:cs="Times New Roman"/>
                <w:lang w:val="ro-RO"/>
              </w:rPr>
              <w:t xml:space="preserve"> </w:t>
            </w:r>
            <w:r w:rsidR="007E30C0" w:rsidRPr="000F57AA">
              <w:rPr>
                <w:rFonts w:ascii="Times New Roman" w:hAnsi="Times New Roman" w:cs="Times New Roman"/>
                <w:lang w:val="ro-RO"/>
              </w:rPr>
              <w:t>nr.YY/2025</w:t>
            </w:r>
            <w:r w:rsidRPr="000F57AA">
              <w:rPr>
                <w:rFonts w:ascii="Times New Roman" w:hAnsi="Times New Roman" w:cs="Times New Roman"/>
                <w:lang w:val="ro-RO"/>
              </w:rPr>
              <w:t xml:space="preserve">, presupunând că multiplicatorul este egal cu 1, fără aplicarea derogării prevăzute la pct.42 din Regulamentul nr.XX/2025 referitoare la contractele încheiate cu clienţi care sunt compensate de o CPCC. Cuantumul se raportează după aplicarea factorului α 1,4, astfel cum se precizează la pct.31 din Regulamentul </w:t>
            </w:r>
            <w:r w:rsidR="000622EF" w:rsidRPr="000F57AA">
              <w:rPr>
                <w:rFonts w:ascii="Times New Roman" w:hAnsi="Times New Roman" w:cs="Times New Roman"/>
                <w:lang w:val="ro-RO"/>
              </w:rPr>
              <w:t>nr.YY/2025</w:t>
            </w:r>
            <w:r w:rsidRPr="000F57AA">
              <w:rPr>
                <w:rFonts w:ascii="Times New Roman" w:hAnsi="Times New Roman" w:cs="Times New Roman"/>
                <w:lang w:val="ro-RO"/>
              </w:rPr>
              <w:t>.</w:t>
            </w:r>
          </w:p>
        </w:tc>
      </w:tr>
      <w:tr w:rsidR="00D012B6" w:rsidRPr="00A05A6A" w14:paraId="5F7CF1C0" w14:textId="77777777" w:rsidTr="00652989">
        <w:trPr>
          <w:trHeight w:val="190"/>
        </w:trPr>
        <w:tc>
          <w:tcPr>
            <w:tcW w:w="988" w:type="dxa"/>
          </w:tcPr>
          <w:p w14:paraId="5AE2F22F" w14:textId="75A16DD8" w:rsidR="00D012B6" w:rsidRPr="000F57AA" w:rsidRDefault="00D012B6" w:rsidP="00D012B6">
            <w:pPr>
              <w:rPr>
                <w:rFonts w:ascii="Times New Roman" w:eastAsia="Times New Roman" w:hAnsi="Times New Roman" w:cs="Times New Roman"/>
                <w:lang w:val="ro-RO"/>
              </w:rPr>
            </w:pPr>
            <w:r w:rsidRPr="000F57AA">
              <w:rPr>
                <w:rFonts w:ascii="Times New Roman" w:hAnsi="Times New Roman" w:cs="Times New Roman"/>
                <w:lang w:val="ro-RO"/>
              </w:rPr>
              <w:t>{0092;0010}</w:t>
            </w:r>
          </w:p>
        </w:tc>
        <w:tc>
          <w:tcPr>
            <w:tcW w:w="8788" w:type="dxa"/>
            <w:gridSpan w:val="2"/>
          </w:tcPr>
          <w:p w14:paraId="4CFFEDDB" w14:textId="77777777" w:rsidR="00D012B6" w:rsidRPr="000F57AA" w:rsidRDefault="00D012B6" w:rsidP="00D012B6">
            <w:pPr>
              <w:ind w:right="90" w:firstLine="465"/>
              <w:rPr>
                <w:rFonts w:ascii="Times New Roman" w:hAnsi="Times New Roman" w:cs="Times New Roman"/>
                <w:b/>
                <w:bCs/>
                <w:lang w:val="ro-RO"/>
              </w:rPr>
            </w:pPr>
            <w:r w:rsidRPr="000F57AA">
              <w:rPr>
                <w:rFonts w:ascii="Times New Roman" w:hAnsi="Times New Roman" w:cs="Times New Roman"/>
                <w:b/>
                <w:bCs/>
                <w:lang w:val="ro-RO"/>
              </w:rPr>
              <w:t>(–) Efectul unui multiplicator mai scăzut în cazul tranzacţiilor încheiate cu clienţi care sunt compensate de o CPCC asupra contribuţiei la expunerea viitoare potenţială (expunerea viitoare potenţială în cadrul SA-CCR)</w:t>
            </w:r>
          </w:p>
          <w:p w14:paraId="1154C41A" w14:textId="77777777"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Pct.42 din Regulamentul nr.XX/2025</w:t>
            </w:r>
          </w:p>
          <w:p w14:paraId="7BF3CF3E" w14:textId="2F188D1B"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 xml:space="preserve">Aplicarea derogării prevăzute pct.42 din Regulamentul nr.XX/2025 asupra calculării expunerii viitoare potenţiale în cazul contractelor derivate încheiate cu clienţi care sunt compensate de o CPCC. Cuantumul se raportează după aplicarea factorului α 1,4, astfel cum se precizează la pct.31 din Regulamentul </w:t>
            </w:r>
            <w:r w:rsidR="005D1F70" w:rsidRPr="000F57AA">
              <w:rPr>
                <w:rFonts w:ascii="Times New Roman" w:hAnsi="Times New Roman" w:cs="Times New Roman"/>
                <w:lang w:val="ro-RO"/>
              </w:rPr>
              <w:t>nr.YY/2025</w:t>
            </w:r>
            <w:r w:rsidRPr="000F57AA">
              <w:rPr>
                <w:rFonts w:ascii="Times New Roman" w:hAnsi="Times New Roman" w:cs="Times New Roman"/>
                <w:lang w:val="ro-RO"/>
              </w:rPr>
              <w:t>.</w:t>
            </w:r>
          </w:p>
          <w:p w14:paraId="4F71E577" w14:textId="4CA8B622" w:rsidR="00D012B6" w:rsidRPr="000F57AA" w:rsidRDefault="00D012B6" w:rsidP="00D012B6">
            <w:pPr>
              <w:ind w:right="90"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cuantumul raportat în această celulă și în {0091;0010}, ca și cum nu s-ar aplica nicio derogare.</w:t>
            </w:r>
          </w:p>
        </w:tc>
      </w:tr>
      <w:tr w:rsidR="00D012B6" w:rsidRPr="00A05A6A" w14:paraId="58FF19C6" w14:textId="77777777" w:rsidTr="00652989">
        <w:trPr>
          <w:trHeight w:val="190"/>
        </w:trPr>
        <w:tc>
          <w:tcPr>
            <w:tcW w:w="988" w:type="dxa"/>
          </w:tcPr>
          <w:p w14:paraId="49BED802" w14:textId="5073CEAF" w:rsidR="00D012B6" w:rsidRPr="000F57AA" w:rsidRDefault="00D012B6" w:rsidP="00D012B6">
            <w:pPr>
              <w:rPr>
                <w:rFonts w:ascii="Times New Roman" w:eastAsia="Times New Roman" w:hAnsi="Times New Roman" w:cs="Times New Roman"/>
                <w:lang w:val="ro-RO"/>
              </w:rPr>
            </w:pPr>
            <w:r w:rsidRPr="000F57AA">
              <w:rPr>
                <w:rFonts w:ascii="Times New Roman" w:hAnsi="Times New Roman" w:cs="Times New Roman"/>
                <w:lang w:val="ro-RO"/>
              </w:rPr>
              <w:t>{0093;0010}</w:t>
            </w:r>
          </w:p>
        </w:tc>
        <w:tc>
          <w:tcPr>
            <w:tcW w:w="8788" w:type="dxa"/>
            <w:gridSpan w:val="2"/>
          </w:tcPr>
          <w:p w14:paraId="05CCFE19" w14:textId="77777777" w:rsidR="00D012B6" w:rsidRPr="000F57AA" w:rsidRDefault="00D012B6" w:rsidP="00D012B6">
            <w:pPr>
              <w:ind w:right="90" w:firstLine="465"/>
              <w:rPr>
                <w:rFonts w:ascii="Times New Roman" w:hAnsi="Times New Roman" w:cs="Times New Roman"/>
                <w:b/>
                <w:bCs/>
                <w:lang w:val="ro-RO"/>
              </w:rPr>
            </w:pPr>
            <w:r w:rsidRPr="000F57AA">
              <w:rPr>
                <w:rFonts w:ascii="Times New Roman" w:hAnsi="Times New Roman" w:cs="Times New Roman"/>
                <w:b/>
                <w:bCs/>
                <w:lang w:val="ro-RO"/>
              </w:rPr>
              <w:t>(–) Efectul segmentului CPC exclus din expunerile aferente tranzacţiilor compensate pentru clienţi (expunerea viitoare potenţială în cadrul SA-CCR)</w:t>
            </w:r>
          </w:p>
          <w:p w14:paraId="243CB57D" w14:textId="68B5483F"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722D12A2" w14:textId="5E23DB4B"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 xml:space="preserve">Expunerea viitoare potenţială a expunerilor faţă de o CPCC excluse din tranzacţiile cu instrumente financiare derivate compensate pentru clienţi, dacă respectivele elemente îndeplinesc condiţiile prevăzute la pct.130.3 din Regulamentul </w:t>
            </w:r>
            <w:r w:rsidR="005D1F70" w:rsidRPr="000F57AA">
              <w:rPr>
                <w:rFonts w:ascii="Times New Roman" w:hAnsi="Times New Roman" w:cs="Times New Roman"/>
                <w:lang w:val="ro-RO"/>
              </w:rPr>
              <w:t>nr.YY/2025</w:t>
            </w:r>
            <w:r w:rsidRPr="000F57AA">
              <w:rPr>
                <w:rFonts w:ascii="Times New Roman" w:hAnsi="Times New Roman" w:cs="Times New Roman"/>
                <w:lang w:val="ro-RO"/>
              </w:rPr>
              <w:t xml:space="preserve">. Cuantumul se raportează după aplicarea factorului α 1,4, astfel cum se precizează la pct.31 din Regulamentul </w:t>
            </w:r>
            <w:r w:rsidR="001F2C3D" w:rsidRPr="000F57AA">
              <w:rPr>
                <w:rFonts w:ascii="Times New Roman" w:hAnsi="Times New Roman" w:cs="Times New Roman"/>
                <w:lang w:val="ro-RO"/>
              </w:rPr>
              <w:t xml:space="preserve"> </w:t>
            </w:r>
            <w:r w:rsidR="005D1F70" w:rsidRPr="000F57AA">
              <w:rPr>
                <w:rFonts w:ascii="Times New Roman" w:hAnsi="Times New Roman" w:cs="Times New Roman"/>
                <w:lang w:val="ro-RO"/>
              </w:rPr>
              <w:t>nr.YY/2025</w:t>
            </w:r>
            <w:r w:rsidRPr="000F57AA">
              <w:rPr>
                <w:rFonts w:ascii="Times New Roman" w:hAnsi="Times New Roman" w:cs="Times New Roman"/>
                <w:lang w:val="ro-RO"/>
              </w:rPr>
              <w:t>.</w:t>
            </w:r>
          </w:p>
          <w:p w14:paraId="3971ACCD" w14:textId="4630B614" w:rsidR="00D012B6" w:rsidRPr="000F57AA" w:rsidRDefault="00D012B6" w:rsidP="00D012B6">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valoarea raportată în această celulă și în {0091;0010}, ca și cum nu s-ar aplica nicio excludere.</w:t>
            </w:r>
          </w:p>
        </w:tc>
      </w:tr>
      <w:tr w:rsidR="00D012B6" w:rsidRPr="00A05A6A" w14:paraId="6C347CA4" w14:textId="77777777" w:rsidTr="00652989">
        <w:trPr>
          <w:trHeight w:val="190"/>
        </w:trPr>
        <w:tc>
          <w:tcPr>
            <w:tcW w:w="988" w:type="dxa"/>
          </w:tcPr>
          <w:p w14:paraId="1DABDF2E" w14:textId="3065052D" w:rsidR="00D012B6" w:rsidRPr="000F57AA" w:rsidRDefault="00D012B6" w:rsidP="00D012B6">
            <w:pPr>
              <w:rPr>
                <w:rFonts w:ascii="Times New Roman" w:eastAsia="Times New Roman" w:hAnsi="Times New Roman" w:cs="Times New Roman"/>
                <w:lang w:val="ro-RO"/>
              </w:rPr>
            </w:pPr>
            <w:r w:rsidRPr="000F57AA">
              <w:rPr>
                <w:rFonts w:ascii="Times New Roman" w:hAnsi="Times New Roman" w:cs="Times New Roman"/>
                <w:lang w:val="ro-RO"/>
              </w:rPr>
              <w:t>{0101;0010}</w:t>
            </w:r>
          </w:p>
        </w:tc>
        <w:tc>
          <w:tcPr>
            <w:tcW w:w="8788" w:type="dxa"/>
            <w:gridSpan w:val="2"/>
          </w:tcPr>
          <w:p w14:paraId="2E846870" w14:textId="77777777" w:rsidR="00D012B6" w:rsidRPr="000F57AA" w:rsidRDefault="00D012B6" w:rsidP="00D012B6">
            <w:pPr>
              <w:ind w:right="90" w:firstLine="465"/>
              <w:rPr>
                <w:rFonts w:ascii="Times New Roman" w:hAnsi="Times New Roman" w:cs="Times New Roman"/>
                <w:b/>
                <w:bCs/>
                <w:lang w:val="ro-RO"/>
              </w:rPr>
            </w:pPr>
            <w:r w:rsidRPr="000F57AA">
              <w:rPr>
                <w:rFonts w:ascii="Times New Roman" w:hAnsi="Times New Roman" w:cs="Times New Roman"/>
                <w:b/>
                <w:bCs/>
                <w:lang w:val="ro-RO"/>
              </w:rPr>
              <w:t>Derogare pentru instrumente financiare derivate: contribuţia la costurile de înlocuire în cadrul abordării standardizate simplificate</w:t>
            </w:r>
          </w:p>
          <w:p w14:paraId="28A76968" w14:textId="6E08793B"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lastRenderedPageBreak/>
              <w:t xml:space="preserve">Pct.43 din Regulamentul nr.XX/2025 și pct.89-90 din Regulamentul </w:t>
            </w:r>
            <w:r w:rsidR="001F2C3D" w:rsidRPr="000F57AA">
              <w:rPr>
                <w:rFonts w:ascii="Times New Roman" w:hAnsi="Times New Roman" w:cs="Times New Roman"/>
                <w:lang w:val="ro-RO"/>
              </w:rPr>
              <w:t xml:space="preserve"> </w:t>
            </w:r>
            <w:r w:rsidR="005D1F70" w:rsidRPr="000F57AA">
              <w:rPr>
                <w:rFonts w:ascii="Times New Roman" w:hAnsi="Times New Roman" w:cs="Times New Roman"/>
                <w:lang w:val="ro-RO"/>
              </w:rPr>
              <w:t>nr.YY/2025</w:t>
            </w:r>
          </w:p>
          <w:p w14:paraId="0285A784" w14:textId="6BECA37C"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 xml:space="preserve">Această celulă conţine indicatorul de măsurare a expunerii în cazul contractelor enumerate la punctele 1 și 2 din anexa nr.1 la Regulamentul nr.114/2018, calculat în conformitate cu abordarea standardizată simplificată prevăzută la pct.89-90 din Regulamentul </w:t>
            </w:r>
            <w:r w:rsidR="001F2C3D" w:rsidRPr="000F57AA">
              <w:rPr>
                <w:rFonts w:ascii="Times New Roman" w:hAnsi="Times New Roman" w:cs="Times New Roman"/>
                <w:lang w:val="ro-RO"/>
              </w:rPr>
              <w:t xml:space="preserve"> </w:t>
            </w:r>
            <w:r w:rsidR="005D1F70" w:rsidRPr="000F57AA">
              <w:rPr>
                <w:rFonts w:ascii="Times New Roman" w:hAnsi="Times New Roman" w:cs="Times New Roman"/>
                <w:lang w:val="ro-RO"/>
              </w:rPr>
              <w:t>nr.YY/2025</w:t>
            </w:r>
            <w:r w:rsidRPr="000F57AA">
              <w:rPr>
                <w:rFonts w:ascii="Times New Roman" w:hAnsi="Times New Roman" w:cs="Times New Roman"/>
                <w:lang w:val="ro-RO"/>
              </w:rPr>
              <w:t xml:space="preserve">. Cuantumul se raportează după aplicarea factorului α 1,4, astfel cum se precizează la pct.31 din Regulamentul </w:t>
            </w:r>
            <w:r w:rsidR="005D1F70" w:rsidRPr="000F57AA">
              <w:rPr>
                <w:rFonts w:ascii="Times New Roman" w:hAnsi="Times New Roman" w:cs="Times New Roman"/>
                <w:lang w:val="ro-RO"/>
              </w:rPr>
              <w:t>nr.YY/2025</w:t>
            </w:r>
            <w:r w:rsidRPr="000F57AA">
              <w:rPr>
                <w:rFonts w:ascii="Times New Roman" w:hAnsi="Times New Roman" w:cs="Times New Roman"/>
                <w:lang w:val="ro-RO"/>
              </w:rPr>
              <w:t>.</w:t>
            </w:r>
          </w:p>
          <w:p w14:paraId="5C781532" w14:textId="79BF27C6" w:rsidR="00D012B6" w:rsidRPr="000F57AA" w:rsidRDefault="00D012B6" w:rsidP="00D012B6">
            <w:pPr>
              <w:ind w:right="90" w:firstLine="465"/>
              <w:rPr>
                <w:rFonts w:ascii="Times New Roman" w:hAnsi="Times New Roman" w:cs="Times New Roman"/>
                <w:lang w:val="ro-RO"/>
              </w:rPr>
            </w:pPr>
            <w:r w:rsidRPr="000F57AA">
              <w:rPr>
                <w:rFonts w:ascii="Times New Roman" w:hAnsi="Times New Roman" w:cs="Times New Roman"/>
                <w:lang w:val="ro-RO"/>
              </w:rPr>
              <w:t>Băncile care aplică abordarea standardizată simplificată nu scad din indicatorul de măsurare a expunerii totale cuantumul marjei primite în conformitate cu pct.43 din Regulamentul nr.XX/2025. Prin urmare, nu se aplică excepţia prevăzută la pct.40 din Regulamentul nr.XX/2025 referitoare la contractele derivate încheiate cu clienţi care sunt compensate de o CPCC.</w:t>
            </w:r>
          </w:p>
          <w:p w14:paraId="659DA79F" w14:textId="05D1F962" w:rsidR="00D012B6" w:rsidRPr="000F57AA" w:rsidRDefault="00D012B6" w:rsidP="00D012B6">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iau în considerare în această celulă contractele măsurate prin aplicarea SA-CCR sau a metodei expunerii iniţiale.</w:t>
            </w:r>
          </w:p>
        </w:tc>
      </w:tr>
      <w:tr w:rsidR="001368EB" w:rsidRPr="00A05A6A" w14:paraId="3753E0E6" w14:textId="77777777" w:rsidTr="00652989">
        <w:trPr>
          <w:trHeight w:val="190"/>
        </w:trPr>
        <w:tc>
          <w:tcPr>
            <w:tcW w:w="988" w:type="dxa"/>
          </w:tcPr>
          <w:p w14:paraId="55A3280F" w14:textId="04E847C8" w:rsidR="001368EB" w:rsidRPr="000F57AA" w:rsidRDefault="001368EB" w:rsidP="001368EB">
            <w:pPr>
              <w:rPr>
                <w:rFonts w:ascii="Times New Roman" w:eastAsia="Times New Roman" w:hAnsi="Times New Roman" w:cs="Times New Roman"/>
                <w:lang w:val="ro-RO"/>
              </w:rPr>
            </w:pPr>
            <w:r w:rsidRPr="000F57AA">
              <w:rPr>
                <w:rFonts w:ascii="Times New Roman" w:hAnsi="Times New Roman" w:cs="Times New Roman"/>
                <w:lang w:val="ro-RO"/>
              </w:rPr>
              <w:lastRenderedPageBreak/>
              <w:t>{0102;0010}</w:t>
            </w:r>
          </w:p>
        </w:tc>
        <w:tc>
          <w:tcPr>
            <w:tcW w:w="8788" w:type="dxa"/>
            <w:gridSpan w:val="2"/>
          </w:tcPr>
          <w:p w14:paraId="5E167050" w14:textId="77777777" w:rsidR="001368EB" w:rsidRPr="000F57AA" w:rsidRDefault="001368EB" w:rsidP="001368EB">
            <w:pPr>
              <w:ind w:right="90" w:firstLine="465"/>
              <w:rPr>
                <w:rFonts w:ascii="Times New Roman" w:hAnsi="Times New Roman" w:cs="Times New Roman"/>
                <w:b/>
                <w:bCs/>
                <w:lang w:val="ro-RO"/>
              </w:rPr>
            </w:pPr>
            <w:r w:rsidRPr="000F57AA">
              <w:rPr>
                <w:rFonts w:ascii="Times New Roman" w:hAnsi="Times New Roman" w:cs="Times New Roman"/>
                <w:b/>
                <w:bCs/>
                <w:lang w:val="ro-RO"/>
              </w:rPr>
              <w:t>(–) Efectul segmentului CPC exclus din expunerile aferente tranzacţiilor compensate pentru clienţi (costurile de înlocuire în cadrul abordării standardizate simplificate)</w:t>
            </w:r>
          </w:p>
          <w:p w14:paraId="5026BCA2" w14:textId="77777777" w:rsidR="009153FB" w:rsidRPr="000F57AA" w:rsidRDefault="001368EB" w:rsidP="001368EB">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24C28C85" w14:textId="20A0B3E0" w:rsidR="001368EB" w:rsidRPr="000F57AA" w:rsidRDefault="001368EB" w:rsidP="001368EB">
            <w:pPr>
              <w:ind w:right="90" w:firstLine="465"/>
              <w:rPr>
                <w:rFonts w:ascii="Times New Roman" w:hAnsi="Times New Roman" w:cs="Times New Roman"/>
                <w:lang w:val="ro-RO"/>
              </w:rPr>
            </w:pPr>
            <w:r w:rsidRPr="000F57AA">
              <w:rPr>
                <w:rFonts w:ascii="Times New Roman" w:hAnsi="Times New Roman" w:cs="Times New Roman"/>
                <w:lang w:val="ro-RO"/>
              </w:rPr>
              <w:t xml:space="preserve">Partea reprezentată de costul de înlocuire din expunerile faţă de o CPCC excluse din tranzacţiile cu instrumente financiare derivate compensate pentru clienţi, dacă respectivele elemente îndeplinesc condiţiile prevăzute la subpct.130.3 din Regulamentul </w:t>
            </w:r>
            <w:r w:rsidR="005D1F70" w:rsidRPr="000F57AA">
              <w:rPr>
                <w:rFonts w:ascii="Times New Roman" w:hAnsi="Times New Roman" w:cs="Times New Roman"/>
                <w:lang w:val="ro-RO"/>
              </w:rPr>
              <w:t>nr.YY/2025</w:t>
            </w:r>
            <w:r w:rsidRPr="000F57AA">
              <w:rPr>
                <w:rFonts w:ascii="Times New Roman" w:hAnsi="Times New Roman" w:cs="Times New Roman"/>
                <w:lang w:val="ro-RO"/>
              </w:rPr>
              <w:t xml:space="preserve">. Acest cuantum se raportează la valoarea brută, adică fără deducerea marjei de variaţie în numerar primite în cadrul acestui segment. Cuantumul se raportează după aplicarea factorului α 1,4, astfel cum se precizează la pct.31 din Regulamentul </w:t>
            </w:r>
            <w:r w:rsidR="005D1F70" w:rsidRPr="000F57AA">
              <w:rPr>
                <w:rFonts w:ascii="Times New Roman" w:hAnsi="Times New Roman" w:cs="Times New Roman"/>
                <w:lang w:val="ro-RO"/>
              </w:rPr>
              <w:t>nr.YY/2025</w:t>
            </w:r>
            <w:r w:rsidRPr="000F57AA">
              <w:rPr>
                <w:rFonts w:ascii="Times New Roman" w:hAnsi="Times New Roman" w:cs="Times New Roman"/>
                <w:lang w:val="ro-RO"/>
              </w:rPr>
              <w:t>.</w:t>
            </w:r>
          </w:p>
          <w:p w14:paraId="6F44A3FC" w14:textId="56959CD0" w:rsidR="001368EB" w:rsidRPr="000F57AA" w:rsidRDefault="001368EB" w:rsidP="001368EB">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valoarea raportată în această celulă și în {0101;0010}, ca și cum nu s-ar fi aplicat nicio excludere.</w:t>
            </w:r>
          </w:p>
        </w:tc>
      </w:tr>
      <w:tr w:rsidR="001368EB" w:rsidRPr="00A05A6A" w14:paraId="2089B3CB" w14:textId="77777777" w:rsidTr="00652989">
        <w:trPr>
          <w:trHeight w:val="190"/>
        </w:trPr>
        <w:tc>
          <w:tcPr>
            <w:tcW w:w="988" w:type="dxa"/>
          </w:tcPr>
          <w:p w14:paraId="14090A6D" w14:textId="568BD1DB" w:rsidR="001368EB" w:rsidRPr="000F57AA" w:rsidRDefault="001368EB" w:rsidP="001368EB">
            <w:pPr>
              <w:rPr>
                <w:rFonts w:ascii="Times New Roman" w:eastAsia="Times New Roman" w:hAnsi="Times New Roman" w:cs="Times New Roman"/>
                <w:lang w:val="ro-RO"/>
              </w:rPr>
            </w:pPr>
            <w:r w:rsidRPr="000F57AA">
              <w:rPr>
                <w:rFonts w:ascii="Times New Roman" w:hAnsi="Times New Roman" w:cs="Times New Roman"/>
                <w:lang w:val="ro-RO"/>
              </w:rPr>
              <w:t>{0103;0010}</w:t>
            </w:r>
          </w:p>
        </w:tc>
        <w:tc>
          <w:tcPr>
            <w:tcW w:w="8788" w:type="dxa"/>
            <w:gridSpan w:val="2"/>
          </w:tcPr>
          <w:p w14:paraId="4CFEB146" w14:textId="77777777" w:rsidR="001368EB" w:rsidRPr="000F57AA" w:rsidRDefault="001368EB" w:rsidP="001368EB">
            <w:pPr>
              <w:ind w:right="90" w:firstLine="465"/>
              <w:rPr>
                <w:rFonts w:ascii="Times New Roman" w:hAnsi="Times New Roman" w:cs="Times New Roman"/>
                <w:b/>
                <w:bCs/>
                <w:lang w:val="ro-RO"/>
              </w:rPr>
            </w:pPr>
            <w:r w:rsidRPr="000F57AA">
              <w:rPr>
                <w:rFonts w:ascii="Times New Roman" w:hAnsi="Times New Roman" w:cs="Times New Roman"/>
                <w:b/>
                <w:bCs/>
                <w:lang w:val="ro-RO"/>
              </w:rPr>
              <w:t>Derogare pentru instrumente financiare derivate: contribuţia la expunerea viitoare potenţială în cadrul abordării standardizate simplificate (multiplicatorul este egal cu 1)</w:t>
            </w:r>
          </w:p>
          <w:p w14:paraId="61E3A7CA" w14:textId="27C73CC9" w:rsidR="001368EB" w:rsidRPr="000F57AA" w:rsidRDefault="001368EB" w:rsidP="001368EB">
            <w:pPr>
              <w:ind w:right="90" w:firstLine="465"/>
              <w:rPr>
                <w:rFonts w:ascii="Times New Roman" w:hAnsi="Times New Roman" w:cs="Times New Roman"/>
                <w:lang w:val="ro-RO"/>
              </w:rPr>
            </w:pPr>
            <w:r w:rsidRPr="000F57AA">
              <w:rPr>
                <w:rFonts w:ascii="Times New Roman" w:hAnsi="Times New Roman" w:cs="Times New Roman"/>
                <w:lang w:val="ro-RO"/>
              </w:rPr>
              <w:t xml:space="preserve">Subpct.90.5 din Regulamentul </w:t>
            </w:r>
            <w:r w:rsidR="002341DF" w:rsidRPr="000F57AA">
              <w:rPr>
                <w:rFonts w:ascii="Times New Roman" w:hAnsi="Times New Roman" w:cs="Times New Roman"/>
                <w:lang w:val="ro-RO"/>
              </w:rPr>
              <w:t>nr.YY/2025</w:t>
            </w:r>
            <w:r w:rsidR="00C2417E" w:rsidRPr="000F57AA">
              <w:rPr>
                <w:rFonts w:ascii="Times New Roman" w:hAnsi="Times New Roman" w:cs="Times New Roman"/>
                <w:lang w:val="ro-RO"/>
              </w:rPr>
              <w:t xml:space="preserve"> </w:t>
            </w:r>
            <w:r w:rsidRPr="000F57AA">
              <w:rPr>
                <w:rFonts w:ascii="Times New Roman" w:hAnsi="Times New Roman" w:cs="Times New Roman"/>
                <w:lang w:val="ro-RO"/>
              </w:rPr>
              <w:t>și pct.43 din Regulamentul nr.XX/2025</w:t>
            </w:r>
          </w:p>
          <w:p w14:paraId="75A8D6A8" w14:textId="1891556C" w:rsidR="001368EB" w:rsidRPr="000F57AA" w:rsidRDefault="001368EB" w:rsidP="001368EB">
            <w:pPr>
              <w:ind w:right="90" w:firstLine="465"/>
              <w:rPr>
                <w:rFonts w:ascii="Times New Roman" w:hAnsi="Times New Roman" w:cs="Times New Roman"/>
                <w:lang w:val="ro-RO"/>
              </w:rPr>
            </w:pPr>
            <w:r w:rsidRPr="000F57AA">
              <w:rPr>
                <w:rFonts w:ascii="Times New Roman" w:hAnsi="Times New Roman" w:cs="Times New Roman"/>
                <w:lang w:val="ro-RO"/>
              </w:rPr>
              <w:t xml:space="preserve">Expunerea viitoare potenţială în conformitate cu abordarea standardizată simplificată prevăzută la pct.89-90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 xml:space="preserve">, presupunând că multiplicatorul este egal cu 1. Cuantumul se raportează după aplicarea factorului α 1,4, astfel cum se precizează la pct.31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w:t>
            </w:r>
          </w:p>
          <w:p w14:paraId="39E1A528" w14:textId="19CD6236" w:rsidR="001368EB" w:rsidRPr="000F57AA" w:rsidRDefault="001368EB" w:rsidP="001368EB">
            <w:pPr>
              <w:ind w:right="90" w:firstLine="465"/>
              <w:rPr>
                <w:rFonts w:ascii="Times New Roman" w:eastAsia="Times New Roman" w:hAnsi="Times New Roman" w:cs="Times New Roman"/>
                <w:b/>
                <w:bCs/>
                <w:lang w:val="ro-RO"/>
              </w:rPr>
            </w:pPr>
            <w:r w:rsidRPr="000F57AA">
              <w:rPr>
                <w:rFonts w:ascii="Times New Roman" w:hAnsi="Times New Roman" w:cs="Times New Roman"/>
                <w:lang w:val="ro-RO"/>
              </w:rPr>
              <w:t>Băncile care aplică abordarea standardizată simplificată nu scad din indicatorul de măsurare a expunerii totale cuantumul marjei primite în conformitate cu pct.</w:t>
            </w:r>
            <w:r w:rsidR="00225711" w:rsidRPr="000F57AA">
              <w:rPr>
                <w:rFonts w:ascii="Times New Roman" w:hAnsi="Times New Roman" w:cs="Times New Roman"/>
                <w:lang w:val="ro-RO"/>
              </w:rPr>
              <w:t>44</w:t>
            </w:r>
            <w:r w:rsidRPr="000F57AA">
              <w:rPr>
                <w:rFonts w:ascii="Times New Roman" w:hAnsi="Times New Roman" w:cs="Times New Roman"/>
                <w:lang w:val="ro-RO"/>
              </w:rPr>
              <w:t xml:space="preserve"> din Regulamentul nr.XX/2025.</w:t>
            </w:r>
          </w:p>
        </w:tc>
      </w:tr>
      <w:tr w:rsidR="00BE4AF8" w:rsidRPr="00A05A6A" w14:paraId="54AFD919" w14:textId="77777777" w:rsidTr="00652989">
        <w:trPr>
          <w:trHeight w:val="190"/>
        </w:trPr>
        <w:tc>
          <w:tcPr>
            <w:tcW w:w="988" w:type="dxa"/>
          </w:tcPr>
          <w:p w14:paraId="5F7BEE40" w14:textId="6A2807F0" w:rsidR="00BE4AF8" w:rsidRPr="000F57AA" w:rsidRDefault="00BE4AF8" w:rsidP="00BE4AF8">
            <w:pPr>
              <w:rPr>
                <w:rFonts w:ascii="Times New Roman" w:eastAsia="Times New Roman" w:hAnsi="Times New Roman" w:cs="Times New Roman"/>
                <w:lang w:val="ro-RO"/>
              </w:rPr>
            </w:pPr>
            <w:r w:rsidRPr="000F57AA">
              <w:rPr>
                <w:rFonts w:ascii="Times New Roman" w:hAnsi="Times New Roman" w:cs="Times New Roman"/>
                <w:lang w:val="ro-RO"/>
              </w:rPr>
              <w:t>{0104;0010}</w:t>
            </w:r>
          </w:p>
        </w:tc>
        <w:tc>
          <w:tcPr>
            <w:tcW w:w="8788" w:type="dxa"/>
            <w:gridSpan w:val="2"/>
          </w:tcPr>
          <w:p w14:paraId="1CC5603A" w14:textId="77777777" w:rsidR="00BE4AF8" w:rsidRPr="000F57AA" w:rsidRDefault="00BE4AF8" w:rsidP="00BE4AF8">
            <w:pPr>
              <w:ind w:right="90" w:firstLine="465"/>
              <w:rPr>
                <w:rFonts w:ascii="Times New Roman" w:hAnsi="Times New Roman" w:cs="Times New Roman"/>
                <w:b/>
                <w:bCs/>
                <w:lang w:val="ro-RO"/>
              </w:rPr>
            </w:pPr>
            <w:r w:rsidRPr="000F57AA">
              <w:rPr>
                <w:rFonts w:ascii="Times New Roman" w:hAnsi="Times New Roman" w:cs="Times New Roman"/>
                <w:b/>
                <w:bCs/>
                <w:lang w:val="ro-RO"/>
              </w:rPr>
              <w:t>(–) Efectul segmentului CPC exclus din expunerile aferente tranzacţiilor compensate pentru clienţi (expunerea viitoare potenţială în cadrul abordării standardizate simplificate)</w:t>
            </w:r>
          </w:p>
          <w:p w14:paraId="5B9B1D11" w14:textId="77777777" w:rsidR="00A011DC" w:rsidRPr="000F57AA" w:rsidRDefault="00BE4AF8" w:rsidP="00BE4AF8">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0D5B2340" w14:textId="5CEAB2B3" w:rsidR="00BE4AF8" w:rsidRPr="000F57AA" w:rsidRDefault="00BE4AF8" w:rsidP="00BE4AF8">
            <w:pPr>
              <w:ind w:right="90" w:firstLine="465"/>
              <w:rPr>
                <w:rFonts w:ascii="Times New Roman" w:hAnsi="Times New Roman" w:cs="Times New Roman"/>
                <w:lang w:val="ro-RO"/>
              </w:rPr>
            </w:pPr>
            <w:r w:rsidRPr="000F57AA">
              <w:rPr>
                <w:rFonts w:ascii="Times New Roman" w:hAnsi="Times New Roman" w:cs="Times New Roman"/>
                <w:lang w:val="ro-RO"/>
              </w:rPr>
              <w:t xml:space="preserve">Expunerea viitoare potenţială a expunerilor faţă de o CPCC excluse din tranzacţiile cu instrumente financiare derivate compensate pentru clienţi, dacă respectivele elemente îndeplinesc condiţiile prevăzute la subpct.130.3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 xml:space="preserve">. Cuantumul se raportează după aplicarea factorului α 1,4, astfel cum se precizează la pct.31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w:t>
            </w:r>
          </w:p>
          <w:p w14:paraId="30700656" w14:textId="7C640B17" w:rsidR="00BE4AF8" w:rsidRPr="000F57AA" w:rsidRDefault="00BE4AF8" w:rsidP="00BE4AF8">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valoarea raportată în această celulă și în {0103;0010}, ca și cum nu s-ar fi aplicat nicio excludere.</w:t>
            </w:r>
          </w:p>
        </w:tc>
      </w:tr>
      <w:tr w:rsidR="00E72B16" w:rsidRPr="00A05A6A" w14:paraId="54B5DDFA" w14:textId="77777777" w:rsidTr="00652989">
        <w:trPr>
          <w:trHeight w:val="190"/>
        </w:trPr>
        <w:tc>
          <w:tcPr>
            <w:tcW w:w="988" w:type="dxa"/>
          </w:tcPr>
          <w:p w14:paraId="0AD8956C" w14:textId="4B129D78" w:rsidR="00E72B16" w:rsidRPr="000F57AA" w:rsidRDefault="00E72B16" w:rsidP="00E72B16">
            <w:pPr>
              <w:rPr>
                <w:rFonts w:ascii="Times New Roman" w:eastAsia="Times New Roman" w:hAnsi="Times New Roman" w:cs="Times New Roman"/>
                <w:lang w:val="ro-RO"/>
              </w:rPr>
            </w:pPr>
            <w:r w:rsidRPr="000F57AA">
              <w:rPr>
                <w:rFonts w:ascii="Times New Roman" w:hAnsi="Times New Roman" w:cs="Times New Roman"/>
                <w:lang w:val="ro-RO"/>
              </w:rPr>
              <w:t>{0110;0010}</w:t>
            </w:r>
          </w:p>
        </w:tc>
        <w:tc>
          <w:tcPr>
            <w:tcW w:w="8788" w:type="dxa"/>
            <w:gridSpan w:val="2"/>
          </w:tcPr>
          <w:p w14:paraId="242FD5D1" w14:textId="77777777" w:rsidR="00E72B16" w:rsidRPr="000F57AA" w:rsidRDefault="00E72B16" w:rsidP="00E72B16">
            <w:pPr>
              <w:ind w:right="90" w:firstLine="465"/>
              <w:rPr>
                <w:rFonts w:ascii="Times New Roman" w:hAnsi="Times New Roman" w:cs="Times New Roman"/>
                <w:b/>
                <w:bCs/>
                <w:lang w:val="ro-RO"/>
              </w:rPr>
            </w:pPr>
            <w:r w:rsidRPr="000F57AA">
              <w:rPr>
                <w:rFonts w:ascii="Times New Roman" w:hAnsi="Times New Roman" w:cs="Times New Roman"/>
                <w:b/>
                <w:bCs/>
                <w:lang w:val="ro-RO"/>
              </w:rPr>
              <w:t>Derogare pentru instrumente financiare derivate: metoda expunerii iniţiale</w:t>
            </w:r>
          </w:p>
          <w:p w14:paraId="31F8ED2D" w14:textId="77777777" w:rsidR="00C2417E"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 xml:space="preserve">Pct.43 din Regulamentul nr.XX/2025 și pct.91-94 din Regulamentul </w:t>
            </w:r>
            <w:r w:rsidR="002341DF" w:rsidRPr="000F57AA">
              <w:rPr>
                <w:rFonts w:ascii="Times New Roman" w:hAnsi="Times New Roman" w:cs="Times New Roman"/>
                <w:lang w:val="ro-RO"/>
              </w:rPr>
              <w:t>nr.YY/2025</w:t>
            </w:r>
          </w:p>
          <w:p w14:paraId="7F184472" w14:textId="24E2A577" w:rsidR="00E72B16"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 xml:space="preserve">Această celulă conţine indicatorul de măsurare a expunerii în cazul contractelor enumerate la punctele 1 și 2 din anexa nr.1 la Regulamentul nr.114/2018, calculat în conformitate cu metoda expunerii iniţiale prevăzută la pct.91-94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w:t>
            </w:r>
          </w:p>
          <w:p w14:paraId="6106D0E2" w14:textId="499BD922" w:rsidR="00E72B16"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Băncile care aplică metoda expunerii iniţiale nu scad din indicatorul de măsurare a expunerii totale cuantumul marjei primite în conformitate cu pct.</w:t>
            </w:r>
            <w:r w:rsidR="00225711" w:rsidRPr="000F57AA">
              <w:rPr>
                <w:rFonts w:ascii="Times New Roman" w:hAnsi="Times New Roman" w:cs="Times New Roman"/>
                <w:lang w:val="ro-RO"/>
              </w:rPr>
              <w:t>44</w:t>
            </w:r>
            <w:r w:rsidRPr="000F57AA">
              <w:rPr>
                <w:rFonts w:ascii="Times New Roman" w:hAnsi="Times New Roman" w:cs="Times New Roman"/>
                <w:lang w:val="ro-RO"/>
              </w:rPr>
              <w:t xml:space="preserve"> din Regulamentul nr.XX/2025.</w:t>
            </w:r>
          </w:p>
          <w:p w14:paraId="5D885786" w14:textId="77777777" w:rsidR="00E72B16"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Băncile care nu utilizează metoda expunerii iniţiale nu raportează nimic în această celulă.</w:t>
            </w:r>
          </w:p>
          <w:p w14:paraId="31E90D74" w14:textId="502153DE" w:rsidR="00E72B16" w:rsidRPr="000F57AA" w:rsidRDefault="00E72B16" w:rsidP="00E72B16">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iau în considerare în această celulă contractele măsurate prin aplicarea SA-CCR sau a abordării standardizate simplificate.</w:t>
            </w:r>
          </w:p>
        </w:tc>
      </w:tr>
      <w:tr w:rsidR="00E72B16" w:rsidRPr="00A05A6A" w14:paraId="6F84E7B9" w14:textId="77777777" w:rsidTr="00652989">
        <w:trPr>
          <w:trHeight w:val="190"/>
        </w:trPr>
        <w:tc>
          <w:tcPr>
            <w:tcW w:w="988" w:type="dxa"/>
          </w:tcPr>
          <w:p w14:paraId="6CEB553F" w14:textId="07D98060" w:rsidR="00E72B16" w:rsidRPr="000F57AA" w:rsidRDefault="00E72B16" w:rsidP="00E72B16">
            <w:pPr>
              <w:rPr>
                <w:rFonts w:ascii="Times New Roman" w:eastAsia="Times New Roman" w:hAnsi="Times New Roman" w:cs="Times New Roman"/>
                <w:lang w:val="ro-RO"/>
              </w:rPr>
            </w:pPr>
            <w:r w:rsidRPr="000F57AA">
              <w:rPr>
                <w:rFonts w:ascii="Times New Roman" w:hAnsi="Times New Roman" w:cs="Times New Roman"/>
                <w:lang w:val="ro-RO"/>
              </w:rPr>
              <w:lastRenderedPageBreak/>
              <w:t>{0120;0010}</w:t>
            </w:r>
          </w:p>
        </w:tc>
        <w:tc>
          <w:tcPr>
            <w:tcW w:w="8788" w:type="dxa"/>
            <w:gridSpan w:val="2"/>
          </w:tcPr>
          <w:p w14:paraId="3E1EA676" w14:textId="77777777" w:rsidR="00E72B16" w:rsidRPr="000F57AA" w:rsidRDefault="00E72B16" w:rsidP="00E72B16">
            <w:pPr>
              <w:ind w:right="90" w:firstLine="465"/>
              <w:rPr>
                <w:rFonts w:ascii="Times New Roman" w:hAnsi="Times New Roman" w:cs="Times New Roman"/>
                <w:b/>
                <w:bCs/>
                <w:lang w:val="ro-RO"/>
              </w:rPr>
            </w:pPr>
            <w:r w:rsidRPr="000F57AA">
              <w:rPr>
                <w:rFonts w:ascii="Times New Roman" w:hAnsi="Times New Roman" w:cs="Times New Roman"/>
                <w:b/>
                <w:bCs/>
                <w:lang w:val="ro-RO"/>
              </w:rPr>
              <w:t>(–) Segmentul CPC exclus din expunerile aferente tranzacţiilor compensate pentru clienţi (metoda expunerii iniţiale)</w:t>
            </w:r>
          </w:p>
          <w:p w14:paraId="4032F1A8" w14:textId="7BE4BC35" w:rsidR="00E72B16"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w:t>
            </w:r>
          </w:p>
          <w:p w14:paraId="3D21FA08" w14:textId="61BD15FF" w:rsidR="00E72B16" w:rsidRPr="000F57AA" w:rsidRDefault="00E72B16" w:rsidP="00E72B16">
            <w:pPr>
              <w:ind w:right="90" w:firstLine="465"/>
              <w:rPr>
                <w:rFonts w:ascii="Times New Roman" w:hAnsi="Times New Roman" w:cs="Times New Roman"/>
                <w:lang w:val="ro-RO"/>
              </w:rPr>
            </w:pPr>
            <w:r w:rsidRPr="000F57AA">
              <w:rPr>
                <w:rFonts w:ascii="Times New Roman" w:hAnsi="Times New Roman" w:cs="Times New Roman"/>
                <w:lang w:val="ro-RO"/>
              </w:rPr>
              <w:t xml:space="preserve">Segmentul CPC exclus din expunerile aferente tranzacţiilor compensate pentru clienţi, atunci când se aplică metoda expunerii iniţiale prevăzută la pct.91-94 din Regulamentul </w:t>
            </w:r>
            <w:r w:rsidR="00C2417E" w:rsidRPr="000F57AA">
              <w:rPr>
                <w:rFonts w:ascii="Times New Roman" w:hAnsi="Times New Roman" w:cs="Times New Roman"/>
                <w:lang w:val="ro-RO"/>
              </w:rPr>
              <w:t xml:space="preserve"> </w:t>
            </w:r>
            <w:r w:rsidR="002341DF" w:rsidRPr="000F57AA">
              <w:rPr>
                <w:rFonts w:ascii="Times New Roman" w:hAnsi="Times New Roman" w:cs="Times New Roman"/>
                <w:lang w:val="ro-RO"/>
              </w:rPr>
              <w:t>nr.YY/2025</w:t>
            </w:r>
            <w:r w:rsidRPr="000F57AA">
              <w:rPr>
                <w:rFonts w:ascii="Times New Roman" w:hAnsi="Times New Roman" w:cs="Times New Roman"/>
                <w:lang w:val="ro-RO"/>
              </w:rPr>
              <w:t xml:space="preserve">, dacă respectivele elemente îndeplinesc condiţiile prevăzute la subpct.130.3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w:t>
            </w:r>
          </w:p>
          <w:p w14:paraId="1B3230C0" w14:textId="5B81D6F4" w:rsidR="00E72B16" w:rsidRPr="000F57AA" w:rsidRDefault="00E72B16" w:rsidP="00E72B16">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includ valoarea raportată în această celulă și în {0110;0010}, ca și cum nu s-ar fi aplicat nicio excludere.</w:t>
            </w:r>
          </w:p>
        </w:tc>
      </w:tr>
      <w:tr w:rsidR="00571A9B" w:rsidRPr="00A05A6A" w14:paraId="502D83B8" w14:textId="77777777" w:rsidTr="00652989">
        <w:trPr>
          <w:trHeight w:val="190"/>
        </w:trPr>
        <w:tc>
          <w:tcPr>
            <w:tcW w:w="988" w:type="dxa"/>
          </w:tcPr>
          <w:p w14:paraId="48439898" w14:textId="6F8BCB62" w:rsidR="00571A9B" w:rsidRPr="000F57AA" w:rsidRDefault="00571A9B" w:rsidP="00571A9B">
            <w:pPr>
              <w:rPr>
                <w:rFonts w:ascii="Times New Roman" w:eastAsia="Times New Roman" w:hAnsi="Times New Roman" w:cs="Times New Roman"/>
                <w:lang w:val="ro-RO"/>
              </w:rPr>
            </w:pPr>
            <w:r w:rsidRPr="000F57AA">
              <w:rPr>
                <w:rFonts w:ascii="Times New Roman" w:hAnsi="Times New Roman" w:cs="Times New Roman"/>
                <w:lang w:val="ro-RO"/>
              </w:rPr>
              <w:t>{0130;0010}</w:t>
            </w:r>
          </w:p>
        </w:tc>
        <w:tc>
          <w:tcPr>
            <w:tcW w:w="8788" w:type="dxa"/>
            <w:gridSpan w:val="2"/>
          </w:tcPr>
          <w:p w14:paraId="61066729" w14:textId="77777777" w:rsidR="00571A9B" w:rsidRPr="000F57AA" w:rsidRDefault="00571A9B" w:rsidP="00571A9B">
            <w:pPr>
              <w:ind w:right="90" w:firstLine="465"/>
              <w:rPr>
                <w:rFonts w:ascii="Times New Roman" w:hAnsi="Times New Roman" w:cs="Times New Roman"/>
                <w:b/>
                <w:bCs/>
                <w:lang w:val="ro-RO"/>
              </w:rPr>
            </w:pPr>
            <w:r w:rsidRPr="000F57AA">
              <w:rPr>
                <w:rFonts w:ascii="Times New Roman" w:hAnsi="Times New Roman" w:cs="Times New Roman"/>
                <w:b/>
                <w:bCs/>
                <w:lang w:val="ro-RO"/>
              </w:rPr>
              <w:t>Cuantumul noţional plafonat al instrumentelor financiare derivate de credit vândute</w:t>
            </w:r>
          </w:p>
          <w:p w14:paraId="4DB073C6" w14:textId="52197969" w:rsidR="00571A9B" w:rsidRPr="000F57AA" w:rsidRDefault="00571A9B" w:rsidP="00571A9B">
            <w:pPr>
              <w:ind w:right="90" w:firstLine="465"/>
              <w:rPr>
                <w:rFonts w:ascii="Times New Roman" w:hAnsi="Times New Roman" w:cs="Times New Roman"/>
                <w:lang w:val="ro-RO"/>
              </w:rPr>
            </w:pPr>
            <w:r w:rsidRPr="000F57AA">
              <w:rPr>
                <w:rFonts w:ascii="Times New Roman" w:hAnsi="Times New Roman" w:cs="Times New Roman"/>
                <w:lang w:val="ro-RO"/>
              </w:rPr>
              <w:t>Pct.</w:t>
            </w:r>
            <w:r w:rsidR="009153FB" w:rsidRPr="000F57AA">
              <w:rPr>
                <w:rFonts w:ascii="Times New Roman" w:hAnsi="Times New Roman" w:cs="Times New Roman"/>
                <w:lang w:val="ro-RO"/>
              </w:rPr>
              <w:t>45-53</w:t>
            </w:r>
            <w:r w:rsidRPr="000F57AA">
              <w:rPr>
                <w:rFonts w:ascii="Times New Roman" w:hAnsi="Times New Roman" w:cs="Times New Roman"/>
                <w:lang w:val="ro-RO"/>
              </w:rPr>
              <w:t xml:space="preserve"> din Regulamentul nr.XX/2025</w:t>
            </w:r>
          </w:p>
          <w:p w14:paraId="6441ECFD" w14:textId="46D1FCA1" w:rsidR="00571A9B" w:rsidRPr="000F57AA" w:rsidRDefault="00571A9B" w:rsidP="00571A9B">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determină cuantumul noţional plafonat al instrumentelor financiare derivate de credit scrise, astfel cum sunt definite la pct.</w:t>
            </w:r>
            <w:r w:rsidR="009153FB" w:rsidRPr="000F57AA">
              <w:rPr>
                <w:rFonts w:ascii="Times New Roman" w:hAnsi="Times New Roman" w:cs="Times New Roman"/>
                <w:lang w:val="ro-RO"/>
              </w:rPr>
              <w:t>45</w:t>
            </w:r>
            <w:r w:rsidRPr="000F57AA">
              <w:rPr>
                <w:rFonts w:ascii="Times New Roman" w:hAnsi="Times New Roman" w:cs="Times New Roman"/>
                <w:lang w:val="ro-RO"/>
              </w:rPr>
              <w:t xml:space="preserve"> din Regulamentul nr.XX/2025, în conformitate cu pct.</w:t>
            </w:r>
            <w:r w:rsidR="009153FB" w:rsidRPr="000F57AA">
              <w:rPr>
                <w:rFonts w:ascii="Times New Roman" w:hAnsi="Times New Roman" w:cs="Times New Roman"/>
                <w:lang w:val="ro-RO"/>
              </w:rPr>
              <w:t xml:space="preserve">45-53 </w:t>
            </w:r>
            <w:r w:rsidRPr="000F57AA">
              <w:rPr>
                <w:rFonts w:ascii="Times New Roman" w:hAnsi="Times New Roman" w:cs="Times New Roman"/>
                <w:lang w:val="ro-RO"/>
              </w:rPr>
              <w:t>din Regulamentul nr.XX/2025.</w:t>
            </w:r>
          </w:p>
        </w:tc>
      </w:tr>
      <w:tr w:rsidR="00571A9B" w:rsidRPr="00A05A6A" w14:paraId="33E740E8" w14:textId="77777777" w:rsidTr="00652989">
        <w:trPr>
          <w:trHeight w:val="190"/>
        </w:trPr>
        <w:tc>
          <w:tcPr>
            <w:tcW w:w="988" w:type="dxa"/>
          </w:tcPr>
          <w:p w14:paraId="3B2CE460" w14:textId="727A714A" w:rsidR="00571A9B" w:rsidRPr="000F57AA" w:rsidRDefault="00571A9B" w:rsidP="00571A9B">
            <w:pPr>
              <w:rPr>
                <w:rFonts w:ascii="Times New Roman" w:eastAsia="Times New Roman" w:hAnsi="Times New Roman" w:cs="Times New Roman"/>
                <w:lang w:val="ro-RO"/>
              </w:rPr>
            </w:pPr>
            <w:r w:rsidRPr="000F57AA">
              <w:rPr>
                <w:rFonts w:ascii="Times New Roman" w:hAnsi="Times New Roman" w:cs="Times New Roman"/>
                <w:lang w:val="ro-RO"/>
              </w:rPr>
              <w:t>{0140;0010}</w:t>
            </w:r>
          </w:p>
        </w:tc>
        <w:tc>
          <w:tcPr>
            <w:tcW w:w="8788" w:type="dxa"/>
            <w:gridSpan w:val="2"/>
          </w:tcPr>
          <w:p w14:paraId="5E5915EC" w14:textId="77777777" w:rsidR="00571A9B" w:rsidRPr="000F57AA" w:rsidRDefault="00571A9B" w:rsidP="00571A9B">
            <w:pPr>
              <w:ind w:right="90" w:firstLine="465"/>
              <w:rPr>
                <w:rFonts w:ascii="Times New Roman" w:hAnsi="Times New Roman" w:cs="Times New Roman"/>
                <w:lang w:val="ro-RO"/>
              </w:rPr>
            </w:pPr>
            <w:r w:rsidRPr="000F57AA">
              <w:rPr>
                <w:rFonts w:ascii="Times New Roman" w:hAnsi="Times New Roman" w:cs="Times New Roman"/>
                <w:b/>
                <w:bCs/>
                <w:lang w:val="ro-RO"/>
              </w:rPr>
              <w:t>(–) Deducerea instrumentelor financiare derivate de credit cumpărate eligibile din instrumentele financiare derivate de credit vândute</w:t>
            </w:r>
          </w:p>
          <w:p w14:paraId="6B6C873C" w14:textId="299B4E08" w:rsidR="00116A77" w:rsidRPr="000F57AA" w:rsidRDefault="00571A9B" w:rsidP="00571A9B">
            <w:pPr>
              <w:ind w:right="90" w:firstLine="465"/>
              <w:rPr>
                <w:rFonts w:ascii="Times New Roman" w:hAnsi="Times New Roman" w:cs="Times New Roman"/>
                <w:lang w:val="ro-RO"/>
              </w:rPr>
            </w:pPr>
            <w:r w:rsidRPr="000F57AA">
              <w:rPr>
                <w:rFonts w:ascii="Times New Roman" w:hAnsi="Times New Roman" w:cs="Times New Roman"/>
                <w:lang w:val="ro-RO"/>
              </w:rPr>
              <w:t>Pct.</w:t>
            </w:r>
            <w:r w:rsidR="009153FB" w:rsidRPr="000F57AA">
              <w:rPr>
                <w:lang w:val="ro-RO"/>
              </w:rPr>
              <w:t xml:space="preserve"> </w:t>
            </w:r>
            <w:r w:rsidR="009153FB" w:rsidRPr="000F57AA">
              <w:rPr>
                <w:rFonts w:ascii="Times New Roman" w:hAnsi="Times New Roman" w:cs="Times New Roman"/>
                <w:lang w:val="ro-RO"/>
              </w:rPr>
              <w:t xml:space="preserve">45-53 </w:t>
            </w:r>
            <w:r w:rsidRPr="000F57AA">
              <w:rPr>
                <w:rFonts w:ascii="Times New Roman" w:hAnsi="Times New Roman" w:cs="Times New Roman"/>
                <w:lang w:val="ro-RO"/>
              </w:rPr>
              <w:t>din Regulamentul nr.XX/2025</w:t>
            </w:r>
          </w:p>
          <w:p w14:paraId="444205D9" w14:textId="243A4B6E" w:rsidR="00571A9B" w:rsidRPr="000F57AA" w:rsidRDefault="00571A9B" w:rsidP="00571A9B">
            <w:pPr>
              <w:ind w:right="90" w:firstLine="465"/>
              <w:rPr>
                <w:rFonts w:ascii="Times New Roman" w:eastAsia="Times New Roman" w:hAnsi="Times New Roman" w:cs="Times New Roman"/>
                <w:b/>
                <w:bCs/>
                <w:lang w:val="ro-RO"/>
              </w:rPr>
            </w:pPr>
            <w:r w:rsidRPr="000F57AA">
              <w:rPr>
                <w:rFonts w:ascii="Times New Roman" w:hAnsi="Times New Roman" w:cs="Times New Roman"/>
                <w:lang w:val="ro-RO"/>
              </w:rPr>
              <w:t>Cuantumul noţional plafonat al instrumentelor financiare derivate de credit cumpărate (și anume, atunci când banca cumpără protecţie de credit de la o contraparte) pentru aceleași nume de referinţă ca instrumentele financiare derivate de credit vândute de bancă, în cazul în care scadenţa rămasă a protecţiei cumpărate este mai mare sau egală cu scadenţa rămasă a protecţiei vândute. Prin urmare, valoarea nu poate fi mai mare decât valoarea introdusă în {0130;0010} pentru fiecare nume de referinţă.</w:t>
            </w:r>
          </w:p>
        </w:tc>
      </w:tr>
      <w:tr w:rsidR="00571A9B" w:rsidRPr="00A05A6A" w14:paraId="47374495" w14:textId="77777777" w:rsidTr="00652989">
        <w:trPr>
          <w:trHeight w:val="190"/>
        </w:trPr>
        <w:tc>
          <w:tcPr>
            <w:tcW w:w="988" w:type="dxa"/>
          </w:tcPr>
          <w:p w14:paraId="6973720F" w14:textId="3A2E3C0F" w:rsidR="00571A9B" w:rsidRPr="000F57AA" w:rsidRDefault="00571A9B" w:rsidP="00571A9B">
            <w:pPr>
              <w:rPr>
                <w:rFonts w:ascii="Times New Roman" w:eastAsia="Times New Roman" w:hAnsi="Times New Roman" w:cs="Times New Roman"/>
                <w:lang w:val="ro-RO"/>
              </w:rPr>
            </w:pPr>
            <w:r w:rsidRPr="000F57AA">
              <w:rPr>
                <w:rFonts w:ascii="Times New Roman" w:hAnsi="Times New Roman" w:cs="Times New Roman"/>
                <w:lang w:val="ro-RO"/>
              </w:rPr>
              <w:t>{0150;0010}</w:t>
            </w:r>
          </w:p>
        </w:tc>
        <w:tc>
          <w:tcPr>
            <w:tcW w:w="8788" w:type="dxa"/>
            <w:gridSpan w:val="2"/>
          </w:tcPr>
          <w:p w14:paraId="1AC2DD80" w14:textId="712B8DB7" w:rsidR="00571A9B" w:rsidRPr="000F57AA" w:rsidRDefault="00571A9B" w:rsidP="00571A9B">
            <w:pPr>
              <w:ind w:right="90" w:firstLine="465"/>
              <w:rPr>
                <w:rFonts w:ascii="Times New Roman" w:hAnsi="Times New Roman" w:cs="Times New Roman"/>
                <w:b/>
                <w:bCs/>
                <w:lang w:val="ro-RO"/>
              </w:rPr>
            </w:pPr>
            <w:r w:rsidRPr="000F57AA">
              <w:rPr>
                <w:rFonts w:ascii="Times New Roman" w:hAnsi="Times New Roman" w:cs="Times New Roman"/>
                <w:b/>
                <w:bCs/>
                <w:lang w:val="ro-RO"/>
              </w:rPr>
              <w:t>Elemente extrabilanţiere cu un factor de conversie a creditului de 10 % în conformitate cu pct.</w:t>
            </w:r>
            <w:r w:rsidR="009153FB" w:rsidRPr="000F57AA">
              <w:rPr>
                <w:rFonts w:ascii="Times New Roman" w:eastAsia="Times New Roman" w:hAnsi="Times New Roman" w:cs="Times New Roman"/>
                <w:lang w:val="ro-RO" w:eastAsia="ru-RU"/>
                <w14:ligatures w14:val="standardContextual"/>
              </w:rPr>
              <w:t xml:space="preserve"> </w:t>
            </w:r>
            <w:r w:rsidR="009153FB" w:rsidRPr="000F57AA">
              <w:rPr>
                <w:rFonts w:ascii="Times New Roman" w:hAnsi="Times New Roman" w:cs="Times New Roman"/>
                <w:b/>
                <w:bCs/>
                <w:lang w:val="ro-RO"/>
              </w:rPr>
              <w:t xml:space="preserve">61-64 </w:t>
            </w:r>
            <w:r w:rsidRPr="000F57AA">
              <w:rPr>
                <w:rFonts w:ascii="Times New Roman" w:hAnsi="Times New Roman" w:cs="Times New Roman"/>
                <w:b/>
                <w:bCs/>
                <w:lang w:val="ro-RO"/>
              </w:rPr>
              <w:t>din Regulamentul nr.XX/2025</w:t>
            </w:r>
          </w:p>
          <w:p w14:paraId="40B82701" w14:textId="316CBFA9" w:rsidR="00571A9B" w:rsidRPr="000F57AA" w:rsidRDefault="00571A9B" w:rsidP="00571A9B">
            <w:pPr>
              <w:ind w:right="90" w:firstLine="465"/>
              <w:rPr>
                <w:rFonts w:ascii="Times New Roman" w:hAnsi="Times New Roman" w:cs="Times New Roman"/>
                <w:lang w:val="ro-RO"/>
              </w:rPr>
            </w:pPr>
            <w:r w:rsidRPr="000F57AA">
              <w:rPr>
                <w:rFonts w:ascii="Times New Roman" w:hAnsi="Times New Roman" w:cs="Times New Roman"/>
                <w:lang w:val="ro-RO"/>
              </w:rPr>
              <w:t>Pct.</w:t>
            </w:r>
            <w:r w:rsidR="009153FB" w:rsidRPr="000F57AA">
              <w:rPr>
                <w:lang w:val="ro-RO"/>
              </w:rPr>
              <w:t xml:space="preserve"> </w:t>
            </w:r>
            <w:r w:rsidR="009153FB" w:rsidRPr="000F57AA">
              <w:rPr>
                <w:rFonts w:ascii="Times New Roman" w:hAnsi="Times New Roman" w:cs="Times New Roman"/>
                <w:lang w:val="ro-RO"/>
              </w:rPr>
              <w:t xml:space="preserve">61-64 </w:t>
            </w:r>
            <w:r w:rsidRPr="000F57AA">
              <w:rPr>
                <w:rFonts w:ascii="Times New Roman" w:hAnsi="Times New Roman" w:cs="Times New Roman"/>
                <w:lang w:val="ro-RO"/>
              </w:rPr>
              <w:t xml:space="preserve">din Regulamentul nr.XX/2025, pct.6 subpct.4) din Regulamentul nr.111/2018 </w:t>
            </w:r>
          </w:p>
          <w:p w14:paraId="3C1AF0F5" w14:textId="1C1986E0" w:rsidR="00571A9B" w:rsidRPr="000F57AA" w:rsidRDefault="00571A9B" w:rsidP="00571A9B">
            <w:pPr>
              <w:ind w:right="90" w:firstLine="465"/>
              <w:rPr>
                <w:rFonts w:ascii="Times New Roman" w:hAnsi="Times New Roman" w:cs="Times New Roman"/>
                <w:lang w:val="ro-RO"/>
              </w:rPr>
            </w:pPr>
            <w:r w:rsidRPr="000F57AA">
              <w:rPr>
                <w:rFonts w:ascii="Times New Roman" w:hAnsi="Times New Roman" w:cs="Times New Roman"/>
                <w:lang w:val="ro-RO"/>
              </w:rPr>
              <w:t>Valoarea expunerii, determinată în conformitate cu pct.</w:t>
            </w:r>
            <w:r w:rsidR="009153FB" w:rsidRPr="000F57AA">
              <w:rPr>
                <w:lang w:val="ro-RO"/>
              </w:rPr>
              <w:t xml:space="preserve"> </w:t>
            </w:r>
            <w:r w:rsidR="009153FB" w:rsidRPr="000F57AA">
              <w:rPr>
                <w:rFonts w:ascii="Times New Roman" w:hAnsi="Times New Roman" w:cs="Times New Roman"/>
                <w:lang w:val="ro-RO"/>
              </w:rPr>
              <w:t xml:space="preserve">61-64 </w:t>
            </w:r>
            <w:r w:rsidRPr="000F57AA">
              <w:rPr>
                <w:rFonts w:ascii="Times New Roman" w:hAnsi="Times New Roman" w:cs="Times New Roman"/>
                <w:lang w:val="ro-RO"/>
              </w:rPr>
              <w:t>din Regulamentul nr.XX/2025și cu pct.6 subpct.4) din Regulamentul nr.111/2018, în cazul elementelor extrabilanţiere cu risc scăzut cărora li s-ar aplica un factor de conversie a creditului de 0 % și care sunt menţionate la pct.4 subpct.1)-3) din anexa nr.1 la Regulamentul nr.111/2018 (valoarea expunerii în acest caz este de 10 % din valoarea nominală). Și anume angajamentele care pot fi revocate necondiţionat, în orice moment și fără notificare prealabilă de către bancă sau care prevăd efectiv revocarea automată ca urmare a deteriorării bonităţii debitorului.</w:t>
            </w:r>
          </w:p>
          <w:p w14:paraId="7CED643D" w14:textId="3C0C58B4" w:rsidR="00571A9B" w:rsidRPr="000F57AA" w:rsidRDefault="00D01C86" w:rsidP="00571A9B">
            <w:pPr>
              <w:ind w:right="90" w:firstLine="465"/>
              <w:rPr>
                <w:rFonts w:ascii="Times New Roman" w:hAnsi="Times New Roman" w:cs="Times New Roman"/>
                <w:lang w:val="ro-RO"/>
              </w:rPr>
            </w:pPr>
            <w:r w:rsidRPr="000F57AA">
              <w:rPr>
                <w:rFonts w:ascii="Times New Roman" w:hAnsi="Times New Roman" w:cs="Times New Roman"/>
                <w:lang w:val="ro-RO"/>
              </w:rPr>
              <w:t>Din</w:t>
            </w:r>
            <w:r w:rsidR="00571A9B" w:rsidRPr="000F57AA">
              <w:rPr>
                <w:rFonts w:ascii="Times New Roman" w:hAnsi="Times New Roman" w:cs="Times New Roman"/>
                <w:lang w:val="ro-RO"/>
              </w:rPr>
              <w:t xml:space="preserve"> valoarea nominală nu se scad ajustările specifice pentru riscul de credit. În schimb, astfel cum se indică la pct.</w:t>
            </w:r>
            <w:r w:rsidR="009153FB" w:rsidRPr="000F57AA">
              <w:rPr>
                <w:rFonts w:ascii="Times New Roman" w:hAnsi="Times New Roman" w:cs="Times New Roman"/>
                <w:lang w:val="ro-RO"/>
              </w:rPr>
              <w:t>63</w:t>
            </w:r>
            <w:r w:rsidR="00571A9B" w:rsidRPr="000F57AA">
              <w:rPr>
                <w:rFonts w:ascii="Times New Roman" w:hAnsi="Times New Roman" w:cs="Times New Roman"/>
                <w:lang w:val="ro-RO"/>
              </w:rPr>
              <w:t xml:space="preserve"> din Regulamentul nr.XX/2025, băncile pot reduce cuantumul echivalent expunerii din credite al unui element extrabilanţier cu suma corespunzătoare a ajustărilor specifice pentru riscul de credit. Calculul este supus unui prag egal cu zero.</w:t>
            </w:r>
          </w:p>
          <w:p w14:paraId="0CEBA575" w14:textId="08A06BEF" w:rsidR="00571A9B" w:rsidRPr="000F57AA" w:rsidRDefault="00571A9B" w:rsidP="00571A9B">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iau în considerare în această celulă contractele enumerate în anexa nr.1 la Regulamentul nr.114/2018, instrumentele financiare derivate de credit, SFT-urile și poziţiile menţionate la pct.</w:t>
            </w:r>
            <w:r w:rsidR="000A4235" w:rsidRPr="000F57AA">
              <w:rPr>
                <w:rFonts w:ascii="Times New Roman" w:hAnsi="Times New Roman" w:cs="Times New Roman"/>
                <w:lang w:val="ro-RO"/>
              </w:rPr>
              <w:t>45-53</w:t>
            </w:r>
            <w:r w:rsidRPr="000F57AA">
              <w:rPr>
                <w:rFonts w:ascii="Times New Roman" w:hAnsi="Times New Roman" w:cs="Times New Roman"/>
                <w:lang w:val="ro-RO"/>
              </w:rPr>
              <w:t xml:space="preserve"> din Regulamentul nr.XX/2025 în conformitate cu pct.</w:t>
            </w:r>
            <w:r w:rsidR="000A4235"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w:t>
            </w:r>
          </w:p>
        </w:tc>
      </w:tr>
      <w:tr w:rsidR="005F570F" w:rsidRPr="00A05A6A" w14:paraId="5BAAE93A" w14:textId="77777777" w:rsidTr="00652989">
        <w:trPr>
          <w:trHeight w:val="190"/>
        </w:trPr>
        <w:tc>
          <w:tcPr>
            <w:tcW w:w="988" w:type="dxa"/>
          </w:tcPr>
          <w:p w14:paraId="2208F728" w14:textId="46B28EBB" w:rsidR="005F570F" w:rsidRPr="000F57AA" w:rsidRDefault="005F570F" w:rsidP="005F570F">
            <w:pPr>
              <w:rPr>
                <w:rFonts w:ascii="Times New Roman" w:eastAsia="Times New Roman" w:hAnsi="Times New Roman" w:cs="Times New Roman"/>
                <w:lang w:val="ro-RO"/>
              </w:rPr>
            </w:pPr>
            <w:r w:rsidRPr="000F57AA">
              <w:rPr>
                <w:rFonts w:ascii="Times New Roman" w:hAnsi="Times New Roman" w:cs="Times New Roman"/>
                <w:lang w:val="ro-RO"/>
              </w:rPr>
              <w:t>{0160;0010}</w:t>
            </w:r>
          </w:p>
        </w:tc>
        <w:tc>
          <w:tcPr>
            <w:tcW w:w="8788" w:type="dxa"/>
            <w:gridSpan w:val="2"/>
          </w:tcPr>
          <w:p w14:paraId="4B1A7FE3" w14:textId="2B27A75E" w:rsidR="005F570F" w:rsidRPr="000F57AA" w:rsidRDefault="005F570F" w:rsidP="005F570F">
            <w:pPr>
              <w:ind w:right="90" w:firstLine="465"/>
              <w:rPr>
                <w:rFonts w:ascii="Times New Roman" w:hAnsi="Times New Roman" w:cs="Times New Roman"/>
                <w:b/>
                <w:bCs/>
                <w:lang w:val="ro-RO"/>
              </w:rPr>
            </w:pPr>
            <w:r w:rsidRPr="000F57AA">
              <w:rPr>
                <w:rFonts w:ascii="Times New Roman" w:hAnsi="Times New Roman" w:cs="Times New Roman"/>
                <w:b/>
                <w:bCs/>
                <w:lang w:val="ro-RO"/>
              </w:rPr>
              <w:t>Elemente extrabilanţiere cu un factor de conversie a creditului de 20 % în conformitate cu pct.</w:t>
            </w:r>
            <w:r w:rsidR="000A4235" w:rsidRPr="000F57AA">
              <w:rPr>
                <w:rFonts w:ascii="Times New Roman" w:hAnsi="Times New Roman" w:cs="Times New Roman"/>
                <w:b/>
                <w:bCs/>
                <w:lang w:val="ro-RO"/>
              </w:rPr>
              <w:t>61-64</w:t>
            </w:r>
            <w:r w:rsidRPr="000F57AA">
              <w:rPr>
                <w:rFonts w:ascii="Times New Roman" w:hAnsi="Times New Roman" w:cs="Times New Roman"/>
                <w:b/>
                <w:bCs/>
                <w:lang w:val="ro-RO"/>
              </w:rPr>
              <w:t xml:space="preserve"> din Regulamentul nr.XX/2025</w:t>
            </w:r>
          </w:p>
          <w:p w14:paraId="52A90D24" w14:textId="5E8CA068" w:rsidR="005F570F" w:rsidRPr="000F57AA" w:rsidRDefault="005F570F" w:rsidP="005F570F">
            <w:pPr>
              <w:ind w:right="90" w:firstLine="465"/>
              <w:rPr>
                <w:rFonts w:ascii="Times New Roman" w:hAnsi="Times New Roman" w:cs="Times New Roman"/>
                <w:lang w:val="ro-RO"/>
              </w:rPr>
            </w:pPr>
            <w:r w:rsidRPr="000F57AA">
              <w:rPr>
                <w:rFonts w:ascii="Times New Roman" w:hAnsi="Times New Roman" w:cs="Times New Roman"/>
                <w:lang w:val="ro-RO"/>
              </w:rPr>
              <w:t>Pct.</w:t>
            </w:r>
            <w:r w:rsidR="000A4235" w:rsidRPr="000F57AA">
              <w:rPr>
                <w:lang w:val="ro-RO"/>
              </w:rPr>
              <w:t xml:space="preserve"> </w:t>
            </w:r>
            <w:r w:rsidR="000A4235" w:rsidRPr="000F57AA">
              <w:rPr>
                <w:rFonts w:ascii="Times New Roman" w:hAnsi="Times New Roman" w:cs="Times New Roman"/>
                <w:lang w:val="ro-RO"/>
              </w:rPr>
              <w:t xml:space="preserve">61-64 </w:t>
            </w:r>
            <w:r w:rsidRPr="000F57AA">
              <w:rPr>
                <w:rFonts w:ascii="Times New Roman" w:hAnsi="Times New Roman" w:cs="Times New Roman"/>
                <w:lang w:val="ro-RO"/>
              </w:rPr>
              <w:t xml:space="preserve">din Regulamentul nr.XX/2025, pct.6 subpct.3) din Regulamentul nr.111/2018  </w:t>
            </w:r>
          </w:p>
          <w:p w14:paraId="112483D8" w14:textId="6A19839A" w:rsidR="005F570F" w:rsidRPr="000F57AA" w:rsidRDefault="005F570F" w:rsidP="005F570F">
            <w:pPr>
              <w:ind w:right="90" w:firstLine="465"/>
              <w:rPr>
                <w:rFonts w:ascii="Times New Roman" w:hAnsi="Times New Roman" w:cs="Times New Roman"/>
                <w:lang w:val="ro-RO"/>
              </w:rPr>
            </w:pPr>
            <w:r w:rsidRPr="000F57AA">
              <w:rPr>
                <w:rFonts w:ascii="Times New Roman" w:hAnsi="Times New Roman" w:cs="Times New Roman"/>
                <w:lang w:val="ro-RO"/>
              </w:rPr>
              <w:t>Valoarea expunerii, determinată în conformitate cu pct.</w:t>
            </w:r>
            <w:r w:rsidR="000A4235" w:rsidRPr="000F57AA">
              <w:rPr>
                <w:lang w:val="ro-RO"/>
              </w:rPr>
              <w:t xml:space="preserve"> </w:t>
            </w:r>
            <w:r w:rsidR="000A4235" w:rsidRPr="000F57AA">
              <w:rPr>
                <w:rFonts w:ascii="Times New Roman" w:hAnsi="Times New Roman" w:cs="Times New Roman"/>
                <w:lang w:val="ro-RO"/>
              </w:rPr>
              <w:t xml:space="preserve">61-64 </w:t>
            </w:r>
            <w:r w:rsidRPr="000F57AA">
              <w:rPr>
                <w:rFonts w:ascii="Times New Roman" w:hAnsi="Times New Roman" w:cs="Times New Roman"/>
                <w:lang w:val="ro-RO"/>
              </w:rPr>
              <w:t>din Regulamentul nr.XX/2025</w:t>
            </w:r>
            <w:r w:rsidR="000A4235" w:rsidRPr="000F57AA">
              <w:rPr>
                <w:rFonts w:ascii="Times New Roman" w:hAnsi="Times New Roman" w:cs="Times New Roman"/>
                <w:lang w:val="ro-RO"/>
              </w:rPr>
              <w:t xml:space="preserve"> </w:t>
            </w:r>
            <w:r w:rsidRPr="000F57AA">
              <w:rPr>
                <w:rFonts w:ascii="Times New Roman" w:hAnsi="Times New Roman" w:cs="Times New Roman"/>
                <w:lang w:val="ro-RO"/>
              </w:rPr>
              <w:t>și cu pct.6 subpct.3) din Regulamentul nr.111/2018, în cazul elementelor extrabilanţiere cu risc mediu/scăzut cărora li s-ar aplica un factor de conversie a creditului de 20 % și care sunt menţionate la pct.3 subpct.1) și 2) din anexa nr.1 la Regulamentul nr.111/2018</w:t>
            </w:r>
            <w:r w:rsidRPr="000F57AA" w:rsidDel="00201EFF">
              <w:rPr>
                <w:rFonts w:ascii="Times New Roman" w:hAnsi="Times New Roman" w:cs="Times New Roman"/>
                <w:lang w:val="ro-RO"/>
              </w:rPr>
              <w:t xml:space="preserve"> </w:t>
            </w:r>
            <w:r w:rsidRPr="000F57AA">
              <w:rPr>
                <w:rFonts w:ascii="Times New Roman" w:hAnsi="Times New Roman" w:cs="Times New Roman"/>
                <w:lang w:val="ro-RO"/>
              </w:rPr>
              <w:t>(valoarea expunerii în acest caz este de 20 % din valoarea nominală).</w:t>
            </w:r>
          </w:p>
          <w:p w14:paraId="53D9ADAE" w14:textId="7E33C5C4" w:rsidR="005F570F" w:rsidRPr="000F57AA" w:rsidRDefault="00D01C86" w:rsidP="005F570F">
            <w:pPr>
              <w:ind w:right="90" w:firstLine="465"/>
              <w:rPr>
                <w:rFonts w:ascii="Times New Roman" w:hAnsi="Times New Roman" w:cs="Times New Roman"/>
                <w:lang w:val="ro-RO"/>
              </w:rPr>
            </w:pPr>
            <w:r w:rsidRPr="000F57AA">
              <w:rPr>
                <w:rFonts w:ascii="Times New Roman" w:hAnsi="Times New Roman" w:cs="Times New Roman"/>
                <w:lang w:val="ro-RO"/>
              </w:rPr>
              <w:t>Din</w:t>
            </w:r>
            <w:r w:rsidR="005F570F" w:rsidRPr="000F57AA">
              <w:rPr>
                <w:rFonts w:ascii="Times New Roman" w:hAnsi="Times New Roman" w:cs="Times New Roman"/>
                <w:lang w:val="ro-RO"/>
              </w:rPr>
              <w:t xml:space="preserve"> valoarea nominală nu se scad ajustările specifice pentru riscul de credit. În schimb, astfel cum se indică la pct.</w:t>
            </w:r>
            <w:r w:rsidR="00913DC0" w:rsidRPr="000F57AA">
              <w:rPr>
                <w:rFonts w:ascii="Times New Roman" w:hAnsi="Times New Roman" w:cs="Times New Roman"/>
                <w:lang w:val="ro-RO"/>
              </w:rPr>
              <w:t xml:space="preserve">63 </w:t>
            </w:r>
            <w:r w:rsidR="005F570F" w:rsidRPr="000F57AA">
              <w:rPr>
                <w:rFonts w:ascii="Times New Roman" w:hAnsi="Times New Roman" w:cs="Times New Roman"/>
                <w:lang w:val="ro-RO"/>
              </w:rPr>
              <w:t>din Regulamentul nr.XX/2025, băncile pot reduce cuantumul echivalent expunerii din credite al unui element extrabilanţier cu suma corespunzătoare a ajustărilor specifice pentru riscul de credit. Calculul este supus unui prag egal cu zero.</w:t>
            </w:r>
          </w:p>
          <w:p w14:paraId="4CFE87C2" w14:textId="38824B03" w:rsidR="005F570F" w:rsidRPr="000F57AA" w:rsidRDefault="005F570F" w:rsidP="005F570F">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Băncile nu iau în considerare în această celulă contractele enumerate în anexa nr.1 la Regulamentul nr.114/2018, instrumentele financiare derivate de credit, SFT-urile și poziţiile </w:t>
            </w:r>
            <w:r w:rsidRPr="000F57AA">
              <w:rPr>
                <w:rFonts w:ascii="Times New Roman" w:hAnsi="Times New Roman" w:cs="Times New Roman"/>
                <w:lang w:val="ro-RO"/>
              </w:rPr>
              <w:lastRenderedPageBreak/>
              <w:t>menţionate la pct.</w:t>
            </w:r>
            <w:r w:rsidR="00913DC0" w:rsidRPr="000F57AA">
              <w:rPr>
                <w:rFonts w:ascii="Times New Roman" w:hAnsi="Times New Roman" w:cs="Times New Roman"/>
                <w:lang w:val="ro-RO"/>
              </w:rPr>
              <w:t>45-53</w:t>
            </w:r>
            <w:r w:rsidRPr="000F57AA">
              <w:rPr>
                <w:rFonts w:ascii="Times New Roman" w:hAnsi="Times New Roman" w:cs="Times New Roman"/>
                <w:lang w:val="ro-RO"/>
              </w:rPr>
              <w:t xml:space="preserve"> din Regulamentul nr.XX/2025  în conformitate cu pct.</w:t>
            </w:r>
            <w:r w:rsidR="00913DC0"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w:t>
            </w:r>
          </w:p>
        </w:tc>
      </w:tr>
      <w:tr w:rsidR="005F570F" w:rsidRPr="00A05A6A" w14:paraId="5D4E25E5" w14:textId="77777777" w:rsidTr="00652989">
        <w:trPr>
          <w:trHeight w:val="190"/>
        </w:trPr>
        <w:tc>
          <w:tcPr>
            <w:tcW w:w="988" w:type="dxa"/>
          </w:tcPr>
          <w:p w14:paraId="749B269E" w14:textId="0B2CC538" w:rsidR="005F570F" w:rsidRPr="000F57AA" w:rsidRDefault="005F570F" w:rsidP="005F570F">
            <w:pPr>
              <w:rPr>
                <w:rFonts w:ascii="Times New Roman" w:eastAsia="Times New Roman" w:hAnsi="Times New Roman" w:cs="Times New Roman"/>
                <w:lang w:val="ro-RO"/>
              </w:rPr>
            </w:pPr>
            <w:r w:rsidRPr="000F57AA">
              <w:rPr>
                <w:rFonts w:ascii="Times New Roman" w:hAnsi="Times New Roman" w:cs="Times New Roman"/>
                <w:lang w:val="ro-RO"/>
              </w:rPr>
              <w:lastRenderedPageBreak/>
              <w:t>{0170;0010}</w:t>
            </w:r>
          </w:p>
        </w:tc>
        <w:tc>
          <w:tcPr>
            <w:tcW w:w="8788" w:type="dxa"/>
            <w:gridSpan w:val="2"/>
          </w:tcPr>
          <w:p w14:paraId="4F96ABAB" w14:textId="2F944FD4" w:rsidR="005F570F" w:rsidRPr="000F57AA" w:rsidRDefault="005F570F" w:rsidP="005F570F">
            <w:pPr>
              <w:ind w:right="90" w:firstLine="465"/>
              <w:rPr>
                <w:rFonts w:ascii="Times New Roman" w:hAnsi="Times New Roman" w:cs="Times New Roman"/>
                <w:b/>
                <w:bCs/>
                <w:lang w:val="ro-RO"/>
              </w:rPr>
            </w:pPr>
            <w:r w:rsidRPr="000F57AA">
              <w:rPr>
                <w:rFonts w:ascii="Times New Roman" w:hAnsi="Times New Roman" w:cs="Times New Roman"/>
                <w:b/>
                <w:bCs/>
                <w:lang w:val="ro-RO"/>
              </w:rPr>
              <w:t>Elemente extrabilanţiere cu un factor de conversie a creditului de 50 % în conformitate cu pct.</w:t>
            </w:r>
            <w:r w:rsidR="00913DC0" w:rsidRPr="000F57AA">
              <w:rPr>
                <w:rFonts w:ascii="Times New Roman" w:hAnsi="Times New Roman" w:cs="Times New Roman"/>
                <w:b/>
                <w:bCs/>
                <w:lang w:val="ro-RO"/>
              </w:rPr>
              <w:t>61-64</w:t>
            </w:r>
            <w:r w:rsidRPr="000F57AA">
              <w:rPr>
                <w:rFonts w:ascii="Times New Roman" w:hAnsi="Times New Roman" w:cs="Times New Roman"/>
                <w:b/>
                <w:bCs/>
                <w:lang w:val="ro-RO"/>
              </w:rPr>
              <w:t xml:space="preserve"> din Regulamentul nr.XX/2025</w:t>
            </w:r>
          </w:p>
          <w:p w14:paraId="62448D0B" w14:textId="38FCFDA5" w:rsidR="005F570F" w:rsidRPr="000F57AA" w:rsidRDefault="005F570F" w:rsidP="005F570F">
            <w:pPr>
              <w:ind w:right="90" w:firstLine="465"/>
              <w:rPr>
                <w:rFonts w:ascii="Times New Roman" w:hAnsi="Times New Roman" w:cs="Times New Roman"/>
                <w:lang w:val="ro-RO"/>
              </w:rPr>
            </w:pPr>
            <w:r w:rsidRPr="000F57AA">
              <w:rPr>
                <w:rFonts w:ascii="Times New Roman" w:hAnsi="Times New Roman" w:cs="Times New Roman"/>
                <w:lang w:val="ro-RO"/>
              </w:rPr>
              <w:t>Pct.</w:t>
            </w:r>
            <w:r w:rsidR="00913DC0" w:rsidRPr="000F57AA">
              <w:rPr>
                <w:lang w:val="ro-RO"/>
              </w:rPr>
              <w:t xml:space="preserve"> </w:t>
            </w:r>
            <w:r w:rsidR="00913DC0" w:rsidRPr="000F57AA">
              <w:rPr>
                <w:rFonts w:ascii="Times New Roman" w:hAnsi="Times New Roman" w:cs="Times New Roman"/>
                <w:lang w:val="ro-RO"/>
              </w:rPr>
              <w:t xml:space="preserve">61-64 </w:t>
            </w:r>
            <w:r w:rsidRPr="000F57AA">
              <w:rPr>
                <w:rFonts w:ascii="Times New Roman" w:hAnsi="Times New Roman" w:cs="Times New Roman"/>
                <w:lang w:val="ro-RO"/>
              </w:rPr>
              <w:t xml:space="preserve">din Regulamentul nr.XX/2025, pct.6 subpct.2) din Regulamentul nr.111/2018  </w:t>
            </w:r>
          </w:p>
          <w:p w14:paraId="126C7F69" w14:textId="330BB3E9" w:rsidR="005F570F" w:rsidRPr="000F57AA" w:rsidRDefault="005F570F" w:rsidP="005F570F">
            <w:pPr>
              <w:ind w:right="90" w:firstLine="465"/>
              <w:rPr>
                <w:rFonts w:ascii="Times New Roman" w:hAnsi="Times New Roman" w:cs="Times New Roman"/>
                <w:lang w:val="ro-RO"/>
              </w:rPr>
            </w:pPr>
            <w:r w:rsidRPr="000F57AA">
              <w:rPr>
                <w:rFonts w:ascii="Times New Roman" w:hAnsi="Times New Roman" w:cs="Times New Roman"/>
                <w:lang w:val="ro-RO"/>
              </w:rPr>
              <w:t>Valoarea expunerii, determinată în conformitate cu pct.</w:t>
            </w:r>
            <w:r w:rsidR="00913DC0" w:rsidRPr="000F57AA">
              <w:rPr>
                <w:lang w:val="ro-RO"/>
              </w:rPr>
              <w:t xml:space="preserve"> </w:t>
            </w:r>
            <w:r w:rsidR="00913DC0" w:rsidRPr="000F57AA">
              <w:rPr>
                <w:rFonts w:ascii="Times New Roman" w:hAnsi="Times New Roman" w:cs="Times New Roman"/>
                <w:lang w:val="ro-RO"/>
              </w:rPr>
              <w:t xml:space="preserve">61-64 </w:t>
            </w:r>
            <w:r w:rsidRPr="000F57AA">
              <w:rPr>
                <w:rFonts w:ascii="Times New Roman" w:hAnsi="Times New Roman" w:cs="Times New Roman"/>
                <w:lang w:val="ro-RO"/>
              </w:rPr>
              <w:t>din Regulamentul nr.XX/2025</w:t>
            </w:r>
            <w:r w:rsidR="00032B22" w:rsidRPr="000F57AA">
              <w:rPr>
                <w:rFonts w:ascii="Times New Roman" w:hAnsi="Times New Roman" w:cs="Times New Roman"/>
                <w:lang w:val="ro-RO"/>
              </w:rPr>
              <w:t xml:space="preserve"> </w:t>
            </w:r>
            <w:r w:rsidRPr="000F57AA">
              <w:rPr>
                <w:rFonts w:ascii="Times New Roman" w:hAnsi="Times New Roman" w:cs="Times New Roman"/>
                <w:lang w:val="ro-RO"/>
              </w:rPr>
              <w:t>și cu pct.6 subpct.2) din Regulamentul nr.111/2018, în cazul elementelor extrabilanţiere cu risc mediu cărora li s-ar aplica un factor de conversie a creditului de 50 %, astfel cum este definit în abordarea standardizată a riscului de credit, și care sunt menţionate la pct.2 subpct.1) și 2) din anexa nr.1 la Regulamentul nr.111/2018</w:t>
            </w:r>
            <w:r w:rsidRPr="000F57AA" w:rsidDel="00201EFF">
              <w:rPr>
                <w:rFonts w:ascii="Times New Roman" w:hAnsi="Times New Roman" w:cs="Times New Roman"/>
                <w:lang w:val="ro-RO"/>
              </w:rPr>
              <w:t xml:space="preserve"> </w:t>
            </w:r>
            <w:r w:rsidRPr="000F57AA">
              <w:rPr>
                <w:rFonts w:ascii="Times New Roman" w:hAnsi="Times New Roman" w:cs="Times New Roman"/>
                <w:lang w:val="ro-RO"/>
              </w:rPr>
              <w:t>(valoarea expunerii în acest caz este de 50 % din valoarea nominală).</w:t>
            </w:r>
          </w:p>
          <w:p w14:paraId="7FC0259A" w14:textId="5349AC70" w:rsidR="005F570F" w:rsidRPr="000F57AA" w:rsidRDefault="00244ED5" w:rsidP="005F570F">
            <w:pPr>
              <w:ind w:right="90" w:firstLine="465"/>
              <w:rPr>
                <w:rFonts w:ascii="Times New Roman" w:hAnsi="Times New Roman" w:cs="Times New Roman"/>
                <w:lang w:val="ro-RO"/>
              </w:rPr>
            </w:pPr>
            <w:r w:rsidRPr="000F57AA">
              <w:rPr>
                <w:rFonts w:ascii="Times New Roman" w:hAnsi="Times New Roman" w:cs="Times New Roman"/>
                <w:lang w:val="ro-RO"/>
              </w:rPr>
              <w:t>D</w:t>
            </w:r>
            <w:r w:rsidR="005F570F" w:rsidRPr="000F57AA">
              <w:rPr>
                <w:rFonts w:ascii="Times New Roman" w:hAnsi="Times New Roman" w:cs="Times New Roman"/>
                <w:lang w:val="ro-RO"/>
              </w:rPr>
              <w:t>in valoarea nominală nu se scad ajustările specifice pentru riscul de credit. În schimb, astfel cum se indică la pct.</w:t>
            </w:r>
            <w:r w:rsidR="00913DC0" w:rsidRPr="000F57AA">
              <w:rPr>
                <w:rFonts w:ascii="Times New Roman" w:hAnsi="Times New Roman" w:cs="Times New Roman"/>
                <w:lang w:val="ro-RO"/>
              </w:rPr>
              <w:t xml:space="preserve">63 </w:t>
            </w:r>
            <w:r w:rsidR="005F570F" w:rsidRPr="000F57AA">
              <w:rPr>
                <w:rFonts w:ascii="Times New Roman" w:hAnsi="Times New Roman" w:cs="Times New Roman"/>
                <w:lang w:val="ro-RO"/>
              </w:rPr>
              <w:t>din Regulamentul nr.XX/2025, băncile pot reduce cuantumul echivalent expunerii din credite al unui element extrabilanţier cu suma corespunzătoare a ajustărilor specifice pentru riscul de credit. Calculul este supus unui prag egal cu zero.</w:t>
            </w:r>
          </w:p>
          <w:p w14:paraId="7F258437" w14:textId="501A77A9" w:rsidR="005F570F" w:rsidRPr="000F57AA" w:rsidRDefault="005F570F" w:rsidP="005F570F">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iau în considerare în această celulă contractele enumerate în anexa nr.1 la Regulamentul nr.114/2018, instrumentele financiare derivate de credit, SFT-urile și poziţiile menţionate la pct.</w:t>
            </w:r>
            <w:r w:rsidR="00913DC0" w:rsidRPr="000F57AA">
              <w:rPr>
                <w:rFonts w:ascii="Times New Roman" w:hAnsi="Times New Roman" w:cs="Times New Roman"/>
                <w:lang w:val="ro-RO"/>
              </w:rPr>
              <w:t>45-53</w:t>
            </w:r>
            <w:r w:rsidRPr="000F57AA">
              <w:rPr>
                <w:rFonts w:ascii="Times New Roman" w:hAnsi="Times New Roman" w:cs="Times New Roman"/>
                <w:lang w:val="ro-RO"/>
              </w:rPr>
              <w:t xml:space="preserve"> din Regulamentul nr.XX/2025 în conformitate cu pct.</w:t>
            </w:r>
            <w:r w:rsidR="00913DC0"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w:t>
            </w:r>
          </w:p>
        </w:tc>
      </w:tr>
      <w:tr w:rsidR="005F570F" w:rsidRPr="00A05A6A" w14:paraId="0B12F2F9" w14:textId="77777777" w:rsidTr="00652989">
        <w:trPr>
          <w:trHeight w:val="190"/>
        </w:trPr>
        <w:tc>
          <w:tcPr>
            <w:tcW w:w="988" w:type="dxa"/>
          </w:tcPr>
          <w:p w14:paraId="2052DEE0" w14:textId="5361F46A" w:rsidR="005F570F" w:rsidRPr="000F57AA" w:rsidRDefault="005F570F" w:rsidP="005F570F">
            <w:pPr>
              <w:rPr>
                <w:rFonts w:ascii="Times New Roman" w:eastAsia="Times New Roman" w:hAnsi="Times New Roman" w:cs="Times New Roman"/>
                <w:lang w:val="ro-RO"/>
              </w:rPr>
            </w:pPr>
            <w:r w:rsidRPr="000F57AA">
              <w:rPr>
                <w:rFonts w:ascii="Times New Roman" w:hAnsi="Times New Roman" w:cs="Times New Roman"/>
                <w:lang w:val="ro-RO"/>
              </w:rPr>
              <w:t>{0180;0010}</w:t>
            </w:r>
          </w:p>
        </w:tc>
        <w:tc>
          <w:tcPr>
            <w:tcW w:w="8788" w:type="dxa"/>
            <w:gridSpan w:val="2"/>
          </w:tcPr>
          <w:p w14:paraId="6FEA6A9C" w14:textId="0842D5D7" w:rsidR="005F570F" w:rsidRPr="000F57AA" w:rsidRDefault="005F570F" w:rsidP="009B527F">
            <w:pPr>
              <w:ind w:right="90" w:firstLine="465"/>
              <w:rPr>
                <w:rFonts w:ascii="Times New Roman" w:hAnsi="Times New Roman" w:cs="Times New Roman"/>
                <w:lang w:val="ro-RO"/>
              </w:rPr>
            </w:pPr>
            <w:r w:rsidRPr="000F57AA">
              <w:rPr>
                <w:rFonts w:ascii="Times New Roman" w:hAnsi="Times New Roman" w:cs="Times New Roman"/>
                <w:b/>
                <w:bCs/>
                <w:lang w:val="ro-RO"/>
              </w:rPr>
              <w:t>Elemente extrabilanţiere cu un factor de conversie a creditului de 100 % în conformitate cu pct.</w:t>
            </w:r>
            <w:r w:rsidR="00913DC0" w:rsidRPr="000F57AA">
              <w:rPr>
                <w:rFonts w:ascii="Times New Roman" w:hAnsi="Times New Roman" w:cs="Times New Roman"/>
                <w:b/>
                <w:bCs/>
                <w:lang w:val="ro-RO"/>
              </w:rPr>
              <w:t>61-64</w:t>
            </w:r>
            <w:r w:rsidRPr="000F57AA">
              <w:rPr>
                <w:rFonts w:ascii="Times New Roman" w:hAnsi="Times New Roman" w:cs="Times New Roman"/>
                <w:b/>
                <w:bCs/>
                <w:lang w:val="ro-RO"/>
              </w:rPr>
              <w:t xml:space="preserve"> din Regulamentul nr.XX/2025</w:t>
            </w:r>
          </w:p>
          <w:p w14:paraId="0F08D64A" w14:textId="05C367B5" w:rsidR="005F570F" w:rsidRPr="000F57AA" w:rsidRDefault="005F570F" w:rsidP="009B527F">
            <w:pPr>
              <w:ind w:right="90" w:firstLine="465"/>
              <w:rPr>
                <w:rFonts w:ascii="Times New Roman" w:hAnsi="Times New Roman" w:cs="Times New Roman"/>
                <w:lang w:val="ro-RO"/>
              </w:rPr>
            </w:pPr>
            <w:r w:rsidRPr="000F57AA">
              <w:rPr>
                <w:rFonts w:ascii="Times New Roman" w:hAnsi="Times New Roman" w:cs="Times New Roman"/>
                <w:lang w:val="ro-RO"/>
              </w:rPr>
              <w:t>Pct.</w:t>
            </w:r>
            <w:r w:rsidR="00913DC0"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 pct.6 subpct.1) din Regulamentul nr.111/2018  </w:t>
            </w:r>
          </w:p>
          <w:p w14:paraId="611192D9" w14:textId="36EAFE3B" w:rsidR="005F570F" w:rsidRPr="000F57AA" w:rsidRDefault="005F570F" w:rsidP="009B527F">
            <w:pPr>
              <w:ind w:right="90" w:firstLine="465"/>
              <w:rPr>
                <w:rFonts w:ascii="Times New Roman" w:hAnsi="Times New Roman" w:cs="Times New Roman"/>
                <w:lang w:val="ro-RO"/>
              </w:rPr>
            </w:pPr>
            <w:r w:rsidRPr="000F57AA">
              <w:rPr>
                <w:rFonts w:ascii="Times New Roman" w:hAnsi="Times New Roman" w:cs="Times New Roman"/>
                <w:lang w:val="ro-RO"/>
              </w:rPr>
              <w:t>Valoarea expunerii, determinată în conformitate cu pct.</w:t>
            </w:r>
            <w:r w:rsidR="00913DC0"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 și cu pct.6 subpct.1) din Regulamentul nr.111/2018, în cazul elementelor extrabilanţiere cu risc ridicat cărora li s-ar aplica un factor de conversie a creditului de 100 % și care sunt menţionate la pct.1 subpct.1)-11) din anexa nr.1 la Regulamentul nr.111/2018</w:t>
            </w:r>
            <w:r w:rsidRPr="000F57AA" w:rsidDel="00201EFF">
              <w:rPr>
                <w:rFonts w:ascii="Times New Roman" w:hAnsi="Times New Roman" w:cs="Times New Roman"/>
                <w:lang w:val="ro-RO"/>
              </w:rPr>
              <w:t xml:space="preserve"> </w:t>
            </w:r>
            <w:r w:rsidRPr="000F57AA">
              <w:rPr>
                <w:rFonts w:ascii="Times New Roman" w:hAnsi="Times New Roman" w:cs="Times New Roman"/>
                <w:lang w:val="ro-RO"/>
              </w:rPr>
              <w:t xml:space="preserve">(valoarea expunerii în acest caz este de 100 % din valoarea nominală). </w:t>
            </w:r>
          </w:p>
          <w:p w14:paraId="7A3B70FC" w14:textId="3343E1B3" w:rsidR="005F570F" w:rsidRPr="000F57AA" w:rsidRDefault="00244ED5" w:rsidP="009B527F">
            <w:pPr>
              <w:ind w:right="90" w:firstLine="465"/>
              <w:rPr>
                <w:rFonts w:ascii="Times New Roman" w:hAnsi="Times New Roman" w:cs="Times New Roman"/>
                <w:lang w:val="ro-RO"/>
              </w:rPr>
            </w:pPr>
            <w:r w:rsidRPr="000F57AA">
              <w:rPr>
                <w:rFonts w:ascii="Times New Roman" w:hAnsi="Times New Roman" w:cs="Times New Roman"/>
                <w:lang w:val="ro-RO"/>
              </w:rPr>
              <w:t>D</w:t>
            </w:r>
            <w:r w:rsidR="005F570F" w:rsidRPr="000F57AA">
              <w:rPr>
                <w:rFonts w:ascii="Times New Roman" w:hAnsi="Times New Roman" w:cs="Times New Roman"/>
                <w:lang w:val="ro-RO"/>
              </w:rPr>
              <w:t>in valoarea nominală nu se scad ajustările specifice pentru riscul de credit. În schimb, astfel cum se indică la pct.</w:t>
            </w:r>
            <w:r w:rsidR="00242D19" w:rsidRPr="000F57AA">
              <w:rPr>
                <w:rFonts w:ascii="Times New Roman" w:hAnsi="Times New Roman" w:cs="Times New Roman"/>
                <w:lang w:val="ro-RO"/>
              </w:rPr>
              <w:t xml:space="preserve">63 </w:t>
            </w:r>
            <w:r w:rsidR="005F570F" w:rsidRPr="000F57AA">
              <w:rPr>
                <w:rFonts w:ascii="Times New Roman" w:hAnsi="Times New Roman" w:cs="Times New Roman"/>
                <w:lang w:val="ro-RO"/>
              </w:rPr>
              <w:t xml:space="preserve">din Regulamentul nr.XX/2025, băncile pot reduce cuantumul echivalent expunerii din credite al unui element extrabilanţier cu suma corespunzătoare a ajustărilor specifice pentru riscul de credit. Calculul este supus unui prag egal cu zero. </w:t>
            </w:r>
          </w:p>
          <w:p w14:paraId="263CF1BF" w14:textId="1D99CBB9" w:rsidR="005F570F" w:rsidRPr="000F57AA" w:rsidRDefault="005F570F" w:rsidP="009B527F">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iau în considerare în această celulă contractele enumerate în anexa nr.1 la Regulamentul nr.114/2018, instrumentele financiare derivate de credit, SFT-urile și poziţiile menţionate la pct.</w:t>
            </w:r>
            <w:r w:rsidR="00242D19" w:rsidRPr="000F57AA">
              <w:rPr>
                <w:rFonts w:ascii="Times New Roman" w:hAnsi="Times New Roman" w:cs="Times New Roman"/>
                <w:lang w:val="ro-RO"/>
              </w:rPr>
              <w:t>45-53</w:t>
            </w:r>
            <w:r w:rsidRPr="000F57AA">
              <w:rPr>
                <w:rFonts w:ascii="Times New Roman" w:hAnsi="Times New Roman" w:cs="Times New Roman"/>
                <w:lang w:val="ro-RO"/>
              </w:rPr>
              <w:t xml:space="preserve"> din Regulamentul nr.XX/2025 în conformitate cu pct.</w:t>
            </w:r>
            <w:r w:rsidR="00242D19" w:rsidRPr="000F57AA">
              <w:rPr>
                <w:rFonts w:ascii="Times New Roman" w:hAnsi="Times New Roman" w:cs="Times New Roman"/>
                <w:lang w:val="ro-RO"/>
              </w:rPr>
              <w:t>61-64</w:t>
            </w:r>
            <w:r w:rsidRPr="000F57AA">
              <w:rPr>
                <w:rFonts w:ascii="Times New Roman" w:hAnsi="Times New Roman" w:cs="Times New Roman"/>
                <w:lang w:val="ro-RO"/>
              </w:rPr>
              <w:t xml:space="preserve"> din Regulamentul nr.XX/2025.</w:t>
            </w:r>
          </w:p>
        </w:tc>
      </w:tr>
      <w:tr w:rsidR="00F062CB" w:rsidRPr="00A05A6A" w14:paraId="28D825CC" w14:textId="77777777" w:rsidTr="00652989">
        <w:trPr>
          <w:trHeight w:val="190"/>
        </w:trPr>
        <w:tc>
          <w:tcPr>
            <w:tcW w:w="988" w:type="dxa"/>
          </w:tcPr>
          <w:p w14:paraId="27C16C4D" w14:textId="3D7685BE"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{0181;0010}</w:t>
            </w:r>
          </w:p>
        </w:tc>
        <w:tc>
          <w:tcPr>
            <w:tcW w:w="8788" w:type="dxa"/>
            <w:gridSpan w:val="2"/>
          </w:tcPr>
          <w:p w14:paraId="06F59DDF" w14:textId="77777777"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Ajustări generale pentru riscul de credit aferente elementelor extrabilanţiere </w:t>
            </w:r>
          </w:p>
          <w:p w14:paraId="17B6314E"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Pct.9-11 din Regulamentul nr.XX/2025</w:t>
            </w:r>
          </w:p>
          <w:p w14:paraId="42649C97" w14:textId="1CCDD75E"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Cuantumul ajustărilor generale pentru riscul de credit corespunzătoare elementelor extrabilanţiere menţionate la subpct.9.4 din Regulamentul nr.XX/2025, pe care băncile îl deduc în conformitate cu pct.11 din Regulamentul nr.XX/2025. </w:t>
            </w:r>
            <w:r w:rsidR="00D17F14" w:rsidRPr="000F57AA">
              <w:rPr>
                <w:rFonts w:ascii="Times New Roman" w:hAnsi="Times New Roman" w:cs="Times New Roman"/>
                <w:lang w:val="ro-RO"/>
              </w:rPr>
              <w:t>C</w:t>
            </w:r>
            <w:r w:rsidRPr="000F57AA">
              <w:rPr>
                <w:rFonts w:ascii="Times New Roman" w:hAnsi="Times New Roman" w:cs="Times New Roman"/>
                <w:lang w:val="ro-RO"/>
              </w:rPr>
              <w:t>uantumul raportat nu se ia în considerare ca reducere la calcularea elementelor extrabilanţiere raportate pe rândurile {0150;0010}-{0180;0010}.</w:t>
            </w:r>
          </w:p>
        </w:tc>
      </w:tr>
      <w:tr w:rsidR="00F062CB" w:rsidRPr="00A05A6A" w14:paraId="4A36ACBF" w14:textId="77777777" w:rsidTr="00652989">
        <w:trPr>
          <w:trHeight w:val="190"/>
        </w:trPr>
        <w:tc>
          <w:tcPr>
            <w:tcW w:w="988" w:type="dxa"/>
          </w:tcPr>
          <w:p w14:paraId="33BD50F0" w14:textId="622E5CA2"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{0185;0010}</w:t>
            </w:r>
          </w:p>
        </w:tc>
        <w:tc>
          <w:tcPr>
            <w:tcW w:w="8788" w:type="dxa"/>
            <w:gridSpan w:val="2"/>
          </w:tcPr>
          <w:p w14:paraId="27A4A651" w14:textId="77777777"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Achiziţiile și vânzările standard care urmează a fi decontate: valoarea contabilă conform principiului contabilizării la data tranzacţionării </w:t>
            </w:r>
          </w:p>
          <w:p w14:paraId="728D47BE" w14:textId="61568C6C"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w:t>
            </w:r>
            <w:r w:rsidR="00242D19" w:rsidRPr="000F57AA">
              <w:rPr>
                <w:rFonts w:ascii="Times New Roman" w:hAnsi="Times New Roman" w:cs="Times New Roman"/>
                <w:lang w:val="ro-RO"/>
              </w:rPr>
              <w:t xml:space="preserve">65 </w:t>
            </w:r>
            <w:r w:rsidRPr="000F57AA">
              <w:rPr>
                <w:rFonts w:ascii="Times New Roman" w:hAnsi="Times New Roman" w:cs="Times New Roman"/>
                <w:lang w:val="ro-RO"/>
              </w:rPr>
              <w:t>din Regulamentul nr.XX/2025</w:t>
            </w:r>
          </w:p>
          <w:p w14:paraId="31062774"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Suma dintre: </w:t>
            </w:r>
          </w:p>
          <w:p w14:paraId="5424687A"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 sumele în numerar aferente achiziţiilor standard care rămân ca active în bilanţul contabil până la data decontării, în conformitate cu subpct.9.1 din Regulamentul nr.XX/2025; </w:t>
            </w:r>
          </w:p>
          <w:p w14:paraId="13C8FA46"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 sumele de încasat aferente vânzărilor standard care rămân ca active în bilanţul contabil până la data decontării, în conformitate cu subpct.9.1 din Regulamentul nr.XX/2025. Acest cuantum este cel rezultat după compensarea, în măsura în care este permisă de cadrul contabil aplicabil, între sumele de încasat în numerar pentru vânzările standard care urmează a fi decontate și sumele de plătit în numerar pentru achiziţiile standard care urmează a fi decontate. </w:t>
            </w:r>
          </w:p>
          <w:p w14:paraId="00D6C455" w14:textId="2035FCC3"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care aplică principiul contabilizării la data tranzacţionării raportează suma menţionată mai sus în această celulă, și nu pe rândul 0190 – „Alte active” – dar raportează titlurile de valoare aferente achiziţiilor standard pe rândul 0190.</w:t>
            </w:r>
          </w:p>
        </w:tc>
      </w:tr>
      <w:tr w:rsidR="00F062CB" w:rsidRPr="00A05A6A" w14:paraId="0AC653F4" w14:textId="77777777" w:rsidTr="00652989">
        <w:trPr>
          <w:trHeight w:val="190"/>
        </w:trPr>
        <w:tc>
          <w:tcPr>
            <w:tcW w:w="988" w:type="dxa"/>
          </w:tcPr>
          <w:p w14:paraId="518089CD" w14:textId="116EAD64"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lastRenderedPageBreak/>
              <w:t>{0186;0010}</w:t>
            </w:r>
          </w:p>
        </w:tc>
        <w:tc>
          <w:tcPr>
            <w:tcW w:w="8788" w:type="dxa"/>
            <w:gridSpan w:val="2"/>
          </w:tcPr>
          <w:p w14:paraId="5DFE95FD" w14:textId="77777777"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Vânzările standard care urmează a fi decontate: reluarea compensării contabile conform principiului contabilizării la data tranzacţionării </w:t>
            </w:r>
          </w:p>
          <w:p w14:paraId="0ACD01C0" w14:textId="499E469E"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w:t>
            </w:r>
            <w:r w:rsidR="00242D19" w:rsidRPr="000F57AA">
              <w:rPr>
                <w:rFonts w:ascii="Times New Roman" w:hAnsi="Times New Roman" w:cs="Times New Roman"/>
                <w:lang w:val="ro-RO"/>
              </w:rPr>
              <w:t xml:space="preserve">66 </w:t>
            </w:r>
            <w:r w:rsidRPr="000F57AA">
              <w:rPr>
                <w:rFonts w:ascii="Times New Roman" w:hAnsi="Times New Roman" w:cs="Times New Roman"/>
                <w:lang w:val="ro-RO"/>
              </w:rPr>
              <w:t>din Regulamentul nr.XX/2025</w:t>
            </w:r>
          </w:p>
          <w:p w14:paraId="4B335164" w14:textId="75C8D95F"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compensat între sumele de încasat în numerar pentru vânzările standard care urmează a fi decontate și sumele de plătit în numerar pentru achiziţiile standard care urmează a fi decontate, permis de cadrul contabil.</w:t>
            </w:r>
          </w:p>
        </w:tc>
      </w:tr>
      <w:tr w:rsidR="00F062CB" w:rsidRPr="00A05A6A" w14:paraId="56EBAB3C" w14:textId="77777777" w:rsidTr="00652989">
        <w:trPr>
          <w:trHeight w:val="190"/>
        </w:trPr>
        <w:tc>
          <w:tcPr>
            <w:tcW w:w="988" w:type="dxa"/>
          </w:tcPr>
          <w:p w14:paraId="271661AF" w14:textId="0F837AFD"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{0187;0010}</w:t>
            </w:r>
          </w:p>
        </w:tc>
        <w:tc>
          <w:tcPr>
            <w:tcW w:w="8788" w:type="dxa"/>
            <w:gridSpan w:val="2"/>
          </w:tcPr>
          <w:p w14:paraId="4211F29C" w14:textId="3FAB4276"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Vânzările standard care urmează a fi decontate: compensarea în conformitate cu pct.</w:t>
            </w:r>
            <w:r w:rsidR="00242D19" w:rsidRPr="000F57AA">
              <w:rPr>
                <w:rFonts w:ascii="Times New Roman" w:hAnsi="Times New Roman" w:cs="Times New Roman"/>
                <w:b/>
                <w:bCs/>
                <w:lang w:val="ro-RO"/>
              </w:rPr>
              <w:t xml:space="preserve">66 </w:t>
            </w:r>
            <w:r w:rsidRPr="000F57AA">
              <w:rPr>
                <w:rFonts w:ascii="Times New Roman" w:hAnsi="Times New Roman" w:cs="Times New Roman"/>
                <w:b/>
                <w:bCs/>
                <w:lang w:val="ro-RO"/>
              </w:rPr>
              <w:t xml:space="preserve">din Regulamentul nr.XX/2025 </w:t>
            </w:r>
          </w:p>
          <w:p w14:paraId="45951513" w14:textId="6DC11B35"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w:t>
            </w:r>
            <w:r w:rsidR="00242D19" w:rsidRPr="000F57AA">
              <w:rPr>
                <w:rFonts w:ascii="Times New Roman" w:hAnsi="Times New Roman" w:cs="Times New Roman"/>
                <w:lang w:val="ro-RO"/>
              </w:rPr>
              <w:t xml:space="preserve">66 </w:t>
            </w:r>
            <w:r w:rsidRPr="000F57AA">
              <w:rPr>
                <w:rFonts w:ascii="Times New Roman" w:hAnsi="Times New Roman" w:cs="Times New Roman"/>
                <w:lang w:val="ro-RO"/>
              </w:rPr>
              <w:t>din Regulamentul nr.XX/2025</w:t>
            </w:r>
          </w:p>
          <w:p w14:paraId="20AE39CA" w14:textId="440C1D83"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compensat între sumele de încasat în numerar și sumele de plătit în numerar în cazul cărora atât vânzările standard, cât și achiziţiile standard aferente sunt decontate pe baza principiului „livrare contra plată”, în conformitate cu pct.</w:t>
            </w:r>
            <w:r w:rsidR="00242D19" w:rsidRPr="000F57AA">
              <w:rPr>
                <w:rFonts w:ascii="Times New Roman" w:hAnsi="Times New Roman" w:cs="Times New Roman"/>
                <w:lang w:val="ro-RO"/>
              </w:rPr>
              <w:t xml:space="preserve">66 </w:t>
            </w:r>
            <w:r w:rsidRPr="000F57AA">
              <w:rPr>
                <w:rFonts w:ascii="Times New Roman" w:hAnsi="Times New Roman" w:cs="Times New Roman"/>
                <w:lang w:val="ro-RO"/>
              </w:rPr>
              <w:t>din Regulamentul nr.XX/2025.</w:t>
            </w:r>
          </w:p>
        </w:tc>
      </w:tr>
      <w:tr w:rsidR="00F062CB" w:rsidRPr="00A05A6A" w14:paraId="6F25EDFE" w14:textId="77777777" w:rsidTr="00652989">
        <w:trPr>
          <w:trHeight w:val="190"/>
        </w:trPr>
        <w:tc>
          <w:tcPr>
            <w:tcW w:w="988" w:type="dxa"/>
          </w:tcPr>
          <w:p w14:paraId="2BCF78F5" w14:textId="47E1FD0E"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{0188;0010}</w:t>
            </w:r>
          </w:p>
        </w:tc>
        <w:tc>
          <w:tcPr>
            <w:tcW w:w="8788" w:type="dxa"/>
            <w:gridSpan w:val="2"/>
          </w:tcPr>
          <w:p w14:paraId="338EFB97" w14:textId="70B94AD1"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Achiziţiile standard care urmează a fi decontate: recunoașterea totală a angajamentelor de plată conform principiului contabilizării la data decontării</w:t>
            </w:r>
          </w:p>
          <w:p w14:paraId="326B398C" w14:textId="625E1060" w:rsidR="00246FE9" w:rsidRPr="000F57AA" w:rsidRDefault="00F062CB" w:rsidP="00F062CB">
            <w:pPr>
              <w:ind w:firstLine="465"/>
              <w:rPr>
                <w:rFonts w:ascii="Times New Roman" w:hAnsi="Times New Roman" w:cs="Times New Roman"/>
                <w:lang w:val="ro-RO"/>
              </w:rPr>
            </w:pPr>
            <w:r w:rsidRPr="000F57AA">
              <w:rPr>
                <w:rFonts w:ascii="Times New Roman" w:hAnsi="Times New Roman" w:cs="Times New Roman"/>
                <w:lang w:val="ro-RO"/>
              </w:rPr>
              <w:t>Pct.</w:t>
            </w:r>
            <w:r w:rsidR="00242D19" w:rsidRPr="000F57AA">
              <w:rPr>
                <w:rFonts w:ascii="Times New Roman" w:hAnsi="Times New Roman" w:cs="Times New Roman"/>
                <w:lang w:val="ro-RO"/>
              </w:rPr>
              <w:t>67-68</w:t>
            </w:r>
            <w:r w:rsidRPr="000F57AA">
              <w:rPr>
                <w:rFonts w:ascii="Times New Roman" w:hAnsi="Times New Roman" w:cs="Times New Roman"/>
                <w:lang w:val="ro-RO"/>
              </w:rPr>
              <w:t xml:space="preserve"> din Regulamentul nr.XX/2025 </w:t>
            </w:r>
          </w:p>
          <w:p w14:paraId="51601C2E" w14:textId="5AC524E9"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Partea din cuantumul raportat pe rândul 0188 compensată cu valoarea nominală totală a sumelor de încasat în numerar aferente vânzărilor standard care urmează a fi decontate, în conformitate cu pct.</w:t>
            </w:r>
            <w:r w:rsidR="00242D19" w:rsidRPr="000F57AA">
              <w:rPr>
                <w:rFonts w:ascii="Times New Roman" w:hAnsi="Times New Roman" w:cs="Times New Roman"/>
                <w:lang w:val="ro-RO"/>
              </w:rPr>
              <w:t>67-68</w:t>
            </w:r>
            <w:r w:rsidRPr="000F57AA">
              <w:rPr>
                <w:rFonts w:ascii="Times New Roman" w:hAnsi="Times New Roman" w:cs="Times New Roman"/>
                <w:lang w:val="ro-RO"/>
              </w:rPr>
              <w:t xml:space="preserve"> din Regulamentul nr.XX/2025.</w:t>
            </w:r>
          </w:p>
        </w:tc>
      </w:tr>
      <w:tr w:rsidR="00F062CB" w:rsidRPr="00A05A6A" w14:paraId="6AAC3EAC" w14:textId="77777777" w:rsidTr="00652989">
        <w:trPr>
          <w:trHeight w:val="190"/>
        </w:trPr>
        <w:tc>
          <w:tcPr>
            <w:tcW w:w="988" w:type="dxa"/>
          </w:tcPr>
          <w:p w14:paraId="57675F4E" w14:textId="5E2A2A94"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{0189;0010}</w:t>
            </w:r>
          </w:p>
        </w:tc>
        <w:tc>
          <w:tcPr>
            <w:tcW w:w="8788" w:type="dxa"/>
            <w:gridSpan w:val="2"/>
          </w:tcPr>
          <w:p w14:paraId="12B047BC" w14:textId="5523EBEE"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Achiziţiile standard care urmează a fi decontate: compensarea cu angajamentele de plată conform principiului contabilizării la data decontării în conformitate cu pct.</w:t>
            </w:r>
            <w:r w:rsidR="00242D19" w:rsidRPr="000F57AA">
              <w:rPr>
                <w:rFonts w:ascii="Times New Roman" w:hAnsi="Times New Roman" w:cs="Times New Roman"/>
                <w:b/>
                <w:bCs/>
                <w:lang w:val="ro-RO"/>
              </w:rPr>
              <w:t>67-68</w:t>
            </w:r>
            <w:r w:rsidRPr="000F57AA">
              <w:rPr>
                <w:rFonts w:ascii="Times New Roman" w:hAnsi="Times New Roman" w:cs="Times New Roman"/>
                <w:b/>
                <w:bCs/>
                <w:lang w:val="ro-RO"/>
              </w:rPr>
              <w:t xml:space="preserve"> din Regulamentul nr.XX/2025</w:t>
            </w:r>
          </w:p>
          <w:p w14:paraId="0FBCB438" w14:textId="4F349A05"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w:t>
            </w:r>
            <w:r w:rsidR="00242D19" w:rsidRPr="000F57AA">
              <w:rPr>
                <w:rFonts w:ascii="Times New Roman" w:hAnsi="Times New Roman" w:cs="Times New Roman"/>
                <w:lang w:val="ro-RO"/>
              </w:rPr>
              <w:t>67-68</w:t>
            </w:r>
            <w:r w:rsidRPr="000F57AA">
              <w:rPr>
                <w:rFonts w:ascii="Times New Roman" w:hAnsi="Times New Roman" w:cs="Times New Roman"/>
                <w:lang w:val="ro-RO"/>
              </w:rPr>
              <w:t xml:space="preserve"> din Regulamentul nr.XX/2025 </w:t>
            </w:r>
          </w:p>
          <w:p w14:paraId="33C0132C" w14:textId="2325FF17"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Partea din cuantumul raportat pe rândul 0188 compensată cu valoarea nominală totală a sumelor de încasat în numerar aferente vânzărilor standard care urmează a fi decontate, în conformitate cu pct.</w:t>
            </w:r>
            <w:r w:rsidR="00242D19" w:rsidRPr="000F57AA">
              <w:rPr>
                <w:rFonts w:ascii="Times New Roman" w:hAnsi="Times New Roman" w:cs="Times New Roman"/>
                <w:lang w:val="ro-RO"/>
              </w:rPr>
              <w:t>67-68</w:t>
            </w:r>
            <w:r w:rsidRPr="000F57AA">
              <w:rPr>
                <w:rFonts w:ascii="Times New Roman" w:hAnsi="Times New Roman" w:cs="Times New Roman"/>
                <w:lang w:val="ro-RO"/>
              </w:rPr>
              <w:t xml:space="preserve"> din Regulamentul nr.XX/2025.</w:t>
            </w:r>
          </w:p>
        </w:tc>
      </w:tr>
      <w:tr w:rsidR="00F062CB" w:rsidRPr="00A05A6A" w14:paraId="75DCA173" w14:textId="77777777" w:rsidTr="00652989">
        <w:trPr>
          <w:trHeight w:val="190"/>
        </w:trPr>
        <w:tc>
          <w:tcPr>
            <w:tcW w:w="988" w:type="dxa"/>
          </w:tcPr>
          <w:p w14:paraId="446F330B" w14:textId="4948789C"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{0190;0010}</w:t>
            </w:r>
          </w:p>
        </w:tc>
        <w:tc>
          <w:tcPr>
            <w:tcW w:w="8788" w:type="dxa"/>
            <w:gridSpan w:val="2"/>
          </w:tcPr>
          <w:p w14:paraId="7C47DC2C" w14:textId="77777777"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Alte active </w:t>
            </w:r>
          </w:p>
          <w:p w14:paraId="6BD68C94"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Subpct.9.1 din Regulamentul nr.XX/2025</w:t>
            </w:r>
          </w:p>
          <w:p w14:paraId="20DBE8B4" w14:textId="2DB898DA"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Toate activele, cu excepţia contractelor derivate enumerate în anexa nr.1 la Regulamentul nr.114/2018, a instrumentelor financiare derivate de credit și a SFT-urilor (de exemplu, printre activele care se raportează în această celulă se numără creanţele furnizate pentru marja de variaţie în numerar atunci când sunt recunoscute în temeiul cadrului contabil curent, activele lichide, astfel cum sunt definite în temeiul indicatorului de acoperire a necesarului de lichiditate, tranzacţiile nereușite și nedecontate). Evaluarea efectuată de bănci se </w:t>
            </w:r>
            <w:r w:rsidR="00D01C86" w:rsidRPr="000F57AA">
              <w:rPr>
                <w:rFonts w:ascii="Times New Roman" w:hAnsi="Times New Roman" w:cs="Times New Roman"/>
                <w:lang w:val="ro-RO"/>
              </w:rPr>
              <w:t xml:space="preserve">bazează </w:t>
            </w:r>
            <w:r w:rsidRPr="000F57AA">
              <w:rPr>
                <w:rFonts w:ascii="Times New Roman" w:hAnsi="Times New Roman" w:cs="Times New Roman"/>
                <w:lang w:val="ro-RO"/>
              </w:rPr>
              <w:t xml:space="preserve">pe principiile stabilite la pct.24 și la pct.16 din Regulamentul nr.XX/2025 . </w:t>
            </w:r>
          </w:p>
          <w:p w14:paraId="2F7AFA43" w14:textId="434689AB"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Băncile includ în această celulă numerarul primit sau titlurile care sunt furnizate unei contrapărţi prin intermediul SFT-urilor și care sunt reţinute în bilanţ (și anume, pentru care criteriile contabile de scoatere din bilanţ nu sunt îndeplinite). În plus, băncile recunosc în această celulă elementele deduse din fondurile proprii de nivel 1 și elementele de fonduri proprii de nivel 1 suplimentar (de exemplu, imobilizările necorporale, creanţele privind impozitul amânat etc.). </w:t>
            </w:r>
          </w:p>
          <w:p w14:paraId="1BDFB103"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Cuantumul raportat pe rândul {0191;0010} nu se ia în considerare ca reducere la calcularea acestui rând. </w:t>
            </w:r>
          </w:p>
          <w:p w14:paraId="7905FD8A" w14:textId="6F967D4E"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Acordurile de tipul „cash pooling” nu se raportează aici, ci pe rândurile {0193;0010}, {0194;0010}, {0195;0010}, {0196;0010}, {0197;0010} și {0198;0010}.</w:t>
            </w:r>
          </w:p>
        </w:tc>
      </w:tr>
      <w:tr w:rsidR="00F062CB" w:rsidRPr="00A05A6A" w14:paraId="377EE217" w14:textId="77777777" w:rsidTr="00652989">
        <w:trPr>
          <w:trHeight w:val="190"/>
        </w:trPr>
        <w:tc>
          <w:tcPr>
            <w:tcW w:w="988" w:type="dxa"/>
          </w:tcPr>
          <w:p w14:paraId="2FE04D91" w14:textId="32237D04" w:rsidR="00F062CB" w:rsidRPr="000F57AA" w:rsidRDefault="00F062CB" w:rsidP="00F062CB">
            <w:pPr>
              <w:rPr>
                <w:rFonts w:ascii="Times New Roman" w:eastAsia="Times New Roman" w:hAnsi="Times New Roman" w:cs="Times New Roman"/>
                <w:lang w:val="ro-RO"/>
              </w:rPr>
            </w:pPr>
            <w:r w:rsidRPr="000F57AA">
              <w:rPr>
                <w:rFonts w:ascii="Times New Roman" w:hAnsi="Times New Roman" w:cs="Times New Roman"/>
                <w:lang w:val="ro-RO"/>
              </w:rPr>
              <w:t>{0191;0010}</w:t>
            </w:r>
          </w:p>
        </w:tc>
        <w:tc>
          <w:tcPr>
            <w:tcW w:w="8788" w:type="dxa"/>
            <w:gridSpan w:val="2"/>
          </w:tcPr>
          <w:p w14:paraId="167FE151" w14:textId="77777777" w:rsidR="00F062CB" w:rsidRPr="000F57AA" w:rsidRDefault="00F062CB" w:rsidP="00F062CB">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Ajustări generale pentru riscul de credit aferente elementelor bilanţiere </w:t>
            </w:r>
          </w:p>
          <w:p w14:paraId="42F39241" w14:textId="77777777"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Pct.9-11 din Regulamentul nr.XX/2025</w:t>
            </w:r>
          </w:p>
          <w:p w14:paraId="153E9970" w14:textId="111541F5" w:rsidR="00F062CB" w:rsidRPr="000F57AA" w:rsidRDefault="00F062CB" w:rsidP="00F062CB">
            <w:pPr>
              <w:ind w:right="90" w:firstLine="465"/>
              <w:rPr>
                <w:rFonts w:ascii="Times New Roman" w:hAnsi="Times New Roman" w:cs="Times New Roman"/>
                <w:lang w:val="ro-RO"/>
              </w:rPr>
            </w:pPr>
            <w:r w:rsidRPr="000F57AA">
              <w:rPr>
                <w:rFonts w:ascii="Times New Roman" w:hAnsi="Times New Roman" w:cs="Times New Roman"/>
                <w:lang w:val="ro-RO"/>
              </w:rPr>
              <w:t xml:space="preserve">Cuantumul ajustărilor generale pentru riscul de credit corespunzătoare elementelor bilanţiere menţionate la subpct.9.1 din Regulamentul nr.XX/2025, pe care </w:t>
            </w:r>
            <w:r w:rsidR="00F3722C" w:rsidRPr="000F57AA">
              <w:rPr>
                <w:rFonts w:ascii="Times New Roman" w:hAnsi="Times New Roman" w:cs="Times New Roman"/>
                <w:lang w:val="ro-RO"/>
              </w:rPr>
              <w:t xml:space="preserve">băncile </w:t>
            </w:r>
            <w:r w:rsidRPr="000F57AA">
              <w:rPr>
                <w:rFonts w:ascii="Times New Roman" w:hAnsi="Times New Roman" w:cs="Times New Roman"/>
                <w:lang w:val="ro-RO"/>
              </w:rPr>
              <w:t xml:space="preserve">îl deduc în conformitate cu pct.11 din Regulamentul nr.XX/2025. </w:t>
            </w:r>
          </w:p>
          <w:p w14:paraId="4B0C7204" w14:textId="1D911EA7" w:rsidR="00F062CB" w:rsidRPr="000F57AA" w:rsidRDefault="00F062CB" w:rsidP="00F062CB">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nu se ia în considerare ca reducere la calcularea altor active raportate pe rândul {0190;0010}.</w:t>
            </w:r>
          </w:p>
        </w:tc>
      </w:tr>
      <w:tr w:rsidR="00776007" w:rsidRPr="00A05A6A" w14:paraId="345C807D" w14:textId="77777777" w:rsidTr="00652989">
        <w:trPr>
          <w:trHeight w:val="190"/>
        </w:trPr>
        <w:tc>
          <w:tcPr>
            <w:tcW w:w="988" w:type="dxa"/>
          </w:tcPr>
          <w:p w14:paraId="4764AF82" w14:textId="40184AFC" w:rsidR="00776007" w:rsidRPr="000F57AA" w:rsidRDefault="00776007" w:rsidP="00776007">
            <w:pPr>
              <w:rPr>
                <w:rFonts w:ascii="Times New Roman" w:eastAsia="Times New Roman" w:hAnsi="Times New Roman" w:cs="Times New Roman"/>
                <w:lang w:val="ro-RO"/>
              </w:rPr>
            </w:pPr>
            <w:r w:rsidRPr="000F57AA">
              <w:rPr>
                <w:rFonts w:ascii="Times New Roman" w:hAnsi="Times New Roman" w:cs="Times New Roman"/>
                <w:lang w:val="ro-RO"/>
              </w:rPr>
              <w:t>{0193;0010}</w:t>
            </w:r>
          </w:p>
        </w:tc>
        <w:tc>
          <w:tcPr>
            <w:tcW w:w="8788" w:type="dxa"/>
            <w:gridSpan w:val="2"/>
          </w:tcPr>
          <w:p w14:paraId="7F017617" w14:textId="77777777" w:rsidR="00776007" w:rsidRPr="000F57AA" w:rsidRDefault="00776007" w:rsidP="00776007">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Acordurile de tipul „cash pooling” care nu pot fi compensate prudenţial: valoarea conform cadrului contabil </w:t>
            </w:r>
          </w:p>
          <w:p w14:paraId="7CADD8A1" w14:textId="761C5AAC" w:rsidR="00776007" w:rsidRPr="000F57AA" w:rsidRDefault="00776007" w:rsidP="00776007">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Pct.25-27 din Regulamentul nr.XX/2025 Valoarea contabilă a acordurilor de tipul „cash pooling”, adică a acordurilor prin care soldurile creditoare și soldurile debitoare ale mai multor </w:t>
            </w:r>
            <w:r w:rsidRPr="000F57AA">
              <w:rPr>
                <w:rFonts w:ascii="Times New Roman" w:hAnsi="Times New Roman" w:cs="Times New Roman"/>
                <w:lang w:val="ro-RO"/>
              </w:rPr>
              <w:lastRenderedPageBreak/>
              <w:t>conturi individuale sunt combinate în scopul gestionării numerarului sau a lichidităţilor, care nu pot fi compensate în conformitate cu pct.25-27 din Regulamentul nr.XX/2025.</w:t>
            </w:r>
          </w:p>
        </w:tc>
      </w:tr>
      <w:tr w:rsidR="00776007" w:rsidRPr="00A05A6A" w14:paraId="114F20DD" w14:textId="77777777" w:rsidTr="00652989">
        <w:trPr>
          <w:trHeight w:val="190"/>
        </w:trPr>
        <w:tc>
          <w:tcPr>
            <w:tcW w:w="988" w:type="dxa"/>
          </w:tcPr>
          <w:p w14:paraId="18BA06DF" w14:textId="19E86520" w:rsidR="00776007" w:rsidRPr="000F57AA" w:rsidRDefault="00776007" w:rsidP="00776007">
            <w:pPr>
              <w:rPr>
                <w:rFonts w:ascii="Times New Roman" w:eastAsia="Times New Roman" w:hAnsi="Times New Roman" w:cs="Times New Roman"/>
                <w:lang w:val="ro-RO"/>
              </w:rPr>
            </w:pPr>
            <w:r w:rsidRPr="000F57AA">
              <w:rPr>
                <w:rFonts w:ascii="Times New Roman" w:hAnsi="Times New Roman" w:cs="Times New Roman"/>
                <w:lang w:val="ro-RO"/>
              </w:rPr>
              <w:lastRenderedPageBreak/>
              <w:t>{0194;0010}</w:t>
            </w:r>
          </w:p>
        </w:tc>
        <w:tc>
          <w:tcPr>
            <w:tcW w:w="8788" w:type="dxa"/>
            <w:gridSpan w:val="2"/>
          </w:tcPr>
          <w:p w14:paraId="037C3520" w14:textId="77777777" w:rsidR="00776007" w:rsidRPr="000F57AA" w:rsidRDefault="00776007" w:rsidP="00776007">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Acordurile de tipul „cash pooling” care nu pot fi compensate prudenţial: efectul transformării în valoare brută a compensării aplicate în cadrul contabil </w:t>
            </w:r>
          </w:p>
          <w:p w14:paraId="4F0EBE74" w14:textId="77777777" w:rsidR="00776007" w:rsidRPr="000F57AA" w:rsidRDefault="00776007" w:rsidP="00776007">
            <w:pPr>
              <w:ind w:right="90" w:firstLine="465"/>
              <w:rPr>
                <w:rFonts w:ascii="Times New Roman" w:hAnsi="Times New Roman" w:cs="Times New Roman"/>
                <w:lang w:val="ro-RO"/>
              </w:rPr>
            </w:pPr>
            <w:r w:rsidRPr="000F57AA">
              <w:rPr>
                <w:rFonts w:ascii="Times New Roman" w:hAnsi="Times New Roman" w:cs="Times New Roman"/>
                <w:lang w:val="ro-RO"/>
              </w:rPr>
              <w:t xml:space="preserve">Subpct.16.2 și pct.25-27 din Regulamentul nr.XX/2025. </w:t>
            </w:r>
          </w:p>
          <w:p w14:paraId="33A663CB" w14:textId="03AD39F7" w:rsidR="00776007" w:rsidRPr="000F57AA" w:rsidRDefault="00776007" w:rsidP="00776007">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compensat conform cadrului contabil aplicabil în cazul acordurilor de tipul „cash pooling” care nu pot fi compensate prudenţial raportat în {0193;0010}.</w:t>
            </w:r>
          </w:p>
        </w:tc>
      </w:tr>
      <w:tr w:rsidR="00D17F14" w:rsidRPr="00A05A6A" w14:paraId="19CCEEC2" w14:textId="77777777" w:rsidTr="00652989">
        <w:trPr>
          <w:trHeight w:val="190"/>
        </w:trPr>
        <w:tc>
          <w:tcPr>
            <w:tcW w:w="988" w:type="dxa"/>
          </w:tcPr>
          <w:p w14:paraId="1AA50193" w14:textId="3C445CBB" w:rsidR="00D17F14" w:rsidRPr="000F57AA" w:rsidRDefault="00D17F14" w:rsidP="00D17F14">
            <w:pPr>
              <w:rPr>
                <w:rFonts w:ascii="Times New Roman" w:eastAsia="Times New Roman" w:hAnsi="Times New Roman" w:cs="Times New Roman"/>
                <w:lang w:val="ro-RO"/>
              </w:rPr>
            </w:pPr>
            <w:r w:rsidRPr="000F57AA">
              <w:rPr>
                <w:rFonts w:ascii="Times New Roman" w:hAnsi="Times New Roman" w:cs="Times New Roman"/>
                <w:lang w:val="ro-RO"/>
              </w:rPr>
              <w:t>{0195;0010}</w:t>
            </w:r>
          </w:p>
        </w:tc>
        <w:tc>
          <w:tcPr>
            <w:tcW w:w="8788" w:type="dxa"/>
            <w:gridSpan w:val="2"/>
          </w:tcPr>
          <w:p w14:paraId="25A65750" w14:textId="77777777" w:rsidR="00D17F14" w:rsidRPr="000F57AA" w:rsidRDefault="00D17F14" w:rsidP="00D17F1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Acordurile de tipul „cash pooling” care pot fi compensate prudenţial: valoarea conform cadrului contabil </w:t>
            </w:r>
          </w:p>
          <w:p w14:paraId="539522A6" w14:textId="77777777" w:rsidR="00512628" w:rsidRPr="000F57AA" w:rsidRDefault="00D17F14" w:rsidP="00D17F14">
            <w:pPr>
              <w:ind w:firstLine="465"/>
              <w:rPr>
                <w:rFonts w:ascii="Times New Roman" w:hAnsi="Times New Roman" w:cs="Times New Roman"/>
                <w:lang w:val="ro-RO"/>
              </w:rPr>
            </w:pPr>
            <w:r w:rsidRPr="000F57AA">
              <w:rPr>
                <w:rFonts w:ascii="Times New Roman" w:hAnsi="Times New Roman" w:cs="Times New Roman"/>
                <w:lang w:val="ro-RO"/>
              </w:rPr>
              <w:t xml:space="preserve">Pct.25-27 din Regulamentul nr.XX/2025 </w:t>
            </w:r>
          </w:p>
          <w:p w14:paraId="473A11E2" w14:textId="7F1B40E2" w:rsidR="00D17F14" w:rsidRPr="000F57AA" w:rsidRDefault="00D17F14" w:rsidP="00D17F14">
            <w:pPr>
              <w:ind w:firstLine="465"/>
              <w:rPr>
                <w:rFonts w:ascii="Times New Roman" w:eastAsia="Times New Roman" w:hAnsi="Times New Roman" w:cs="Times New Roman"/>
                <w:b/>
                <w:bCs/>
                <w:lang w:val="ro-RO"/>
              </w:rPr>
            </w:pPr>
            <w:r w:rsidRPr="000F57AA">
              <w:rPr>
                <w:rFonts w:ascii="Times New Roman" w:hAnsi="Times New Roman" w:cs="Times New Roman"/>
                <w:lang w:val="ro-RO"/>
              </w:rPr>
              <w:t>Valoarea contabilă a acordurilor de tipul „cash pooling”, adică a acordurilor prin care soldurile creditoare și soldurile debitoare ale mai multor conturi individuale sunt combinate în scopul gestionării numerarului sau a lichidităţilor, care pot fi compensate în conformitate cu pct.25-27 din Regulamentul nr.XX/2025.</w:t>
            </w:r>
          </w:p>
        </w:tc>
      </w:tr>
      <w:tr w:rsidR="004F6977" w:rsidRPr="00A05A6A" w14:paraId="0BE9471C" w14:textId="77777777" w:rsidTr="00652989">
        <w:trPr>
          <w:trHeight w:val="190"/>
        </w:trPr>
        <w:tc>
          <w:tcPr>
            <w:tcW w:w="988" w:type="dxa"/>
          </w:tcPr>
          <w:p w14:paraId="24945A67" w14:textId="3ADD492F" w:rsidR="004F6977" w:rsidRPr="000F57AA" w:rsidRDefault="004F6977" w:rsidP="004F6977">
            <w:pPr>
              <w:rPr>
                <w:rFonts w:ascii="Times New Roman" w:eastAsia="Times New Roman" w:hAnsi="Times New Roman" w:cs="Times New Roman"/>
                <w:lang w:val="ro-RO"/>
              </w:rPr>
            </w:pPr>
            <w:r w:rsidRPr="000F57AA">
              <w:rPr>
                <w:rFonts w:ascii="Times New Roman" w:hAnsi="Times New Roman" w:cs="Times New Roman"/>
                <w:lang w:val="ro-RO"/>
              </w:rPr>
              <w:t>{0196;0010}</w:t>
            </w:r>
          </w:p>
        </w:tc>
        <w:tc>
          <w:tcPr>
            <w:tcW w:w="8788" w:type="dxa"/>
            <w:gridSpan w:val="2"/>
          </w:tcPr>
          <w:p w14:paraId="564D699D" w14:textId="77777777" w:rsidR="004F6977" w:rsidRPr="000F57AA" w:rsidRDefault="004F6977" w:rsidP="004F6977">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Acordurile de tipul „cash pooling” care pot fi compensate prudenţial: efectul transformării în valoare brută a compensării aplicate în cadrul contabil </w:t>
            </w:r>
          </w:p>
          <w:p w14:paraId="72D98832" w14:textId="77777777" w:rsidR="004F6977" w:rsidRPr="000F57AA" w:rsidRDefault="004F6977" w:rsidP="004F6977">
            <w:pPr>
              <w:ind w:right="90" w:firstLine="465"/>
              <w:rPr>
                <w:rFonts w:ascii="Times New Roman" w:hAnsi="Times New Roman" w:cs="Times New Roman"/>
                <w:lang w:val="ro-RO"/>
              </w:rPr>
            </w:pPr>
            <w:r w:rsidRPr="000F57AA">
              <w:rPr>
                <w:rFonts w:ascii="Times New Roman" w:hAnsi="Times New Roman" w:cs="Times New Roman"/>
                <w:lang w:val="ro-RO"/>
              </w:rPr>
              <w:t xml:space="preserve">Pct.25-27 din Regulamentul nr.XX/2025 Cuantumul compensat conform cadrului contabil aplicabil în cazul acordurilor de tipul „cash pooling” care pot fi compensate prudenţial raportat în {0195;0010}. </w:t>
            </w:r>
          </w:p>
          <w:p w14:paraId="6A5CF9D5" w14:textId="778FFB7D" w:rsidR="004F6977" w:rsidRPr="000F57AA" w:rsidRDefault="004F6977" w:rsidP="004F6977">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Atunci când </w:t>
            </w:r>
            <w:r w:rsidR="001B57B6" w:rsidRPr="000F57AA">
              <w:rPr>
                <w:rFonts w:ascii="Times New Roman" w:hAnsi="Times New Roman" w:cs="Times New Roman"/>
                <w:lang w:val="ro-RO"/>
              </w:rPr>
              <w:t xml:space="preserve">băncile </w:t>
            </w:r>
            <w:r w:rsidRPr="000F57AA">
              <w:rPr>
                <w:rFonts w:ascii="Times New Roman" w:hAnsi="Times New Roman" w:cs="Times New Roman"/>
                <w:lang w:val="ro-RO"/>
              </w:rPr>
              <w:t>îndeplinesc condiţiile prevăzute la subpct.25.2 din Regulamentul nr.XX/2025, acestea nu aplică transformarea în valoare brută raportată pe acest rând soldurilor stinse pe baza procesului prevăzut la subpct.25.1 din Regulamentul nr.XX/2025.</w:t>
            </w:r>
          </w:p>
        </w:tc>
      </w:tr>
      <w:tr w:rsidR="007177D4" w:rsidRPr="00A05A6A" w14:paraId="4AD45B27" w14:textId="77777777" w:rsidTr="00652989">
        <w:trPr>
          <w:trHeight w:val="190"/>
        </w:trPr>
        <w:tc>
          <w:tcPr>
            <w:tcW w:w="988" w:type="dxa"/>
          </w:tcPr>
          <w:p w14:paraId="0A69BEF4" w14:textId="1CCCD466"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{0197;0010}</w:t>
            </w:r>
          </w:p>
        </w:tc>
        <w:tc>
          <w:tcPr>
            <w:tcW w:w="8788" w:type="dxa"/>
            <w:gridSpan w:val="2"/>
          </w:tcPr>
          <w:p w14:paraId="78FD1DF9"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Acordurile de tipul „cash pooling” care pot fi compensate prudenţial: recunoașterea compensării în conformitate cu pct.25-26 din Regulamentul nr.XX/2025</w:t>
            </w:r>
          </w:p>
          <w:p w14:paraId="15CF3FEE" w14:textId="2173E041"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Pct.25-26 din Regulamentul nr.XX/2025 Cuantumul compensat din expunerea brută aferent acordurilor de tipul „cash pooling” (suma rândurilor 0195 și 0196) în conformitate cu pct.25-26 din Regulamentul nr.XX/2025.</w:t>
            </w:r>
          </w:p>
        </w:tc>
      </w:tr>
      <w:tr w:rsidR="007177D4" w:rsidRPr="00A05A6A" w14:paraId="6FD30F52" w14:textId="77777777" w:rsidTr="00652989">
        <w:trPr>
          <w:trHeight w:val="190"/>
        </w:trPr>
        <w:tc>
          <w:tcPr>
            <w:tcW w:w="988" w:type="dxa"/>
          </w:tcPr>
          <w:p w14:paraId="389F5531" w14:textId="26B3BEC2"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{0198;0010}</w:t>
            </w:r>
          </w:p>
        </w:tc>
        <w:tc>
          <w:tcPr>
            <w:tcW w:w="8788" w:type="dxa"/>
            <w:gridSpan w:val="2"/>
          </w:tcPr>
          <w:p w14:paraId="58A9D9BD" w14:textId="02B8FBC6" w:rsidR="007177D4" w:rsidRPr="000F57AA" w:rsidRDefault="00964A70" w:rsidP="007177D4">
            <w:pPr>
              <w:ind w:right="90"/>
              <w:rPr>
                <w:rFonts w:ascii="Times New Roman" w:hAnsi="Times New Roman" w:cs="Times New Roman"/>
                <w:b/>
                <w:bCs/>
                <w:lang w:val="ro-RO"/>
              </w:rPr>
            </w:pPr>
            <w:r w:rsidRPr="000F57AA">
              <w:rPr>
                <w:rFonts w:ascii="Times New Roman" w:hAnsi="Times New Roman" w:cs="Times New Roman"/>
                <w:b/>
                <w:bCs/>
                <w:lang w:val="ro-RO"/>
              </w:rPr>
              <w:t xml:space="preserve">        </w:t>
            </w:r>
            <w:r w:rsidR="007177D4" w:rsidRPr="000F57AA">
              <w:rPr>
                <w:rFonts w:ascii="Times New Roman" w:hAnsi="Times New Roman" w:cs="Times New Roman"/>
                <w:b/>
                <w:bCs/>
                <w:lang w:val="ro-RO"/>
              </w:rPr>
              <w:t>(–) Acordurile de tipul „cash pooling” care pot fi compensate prudenţial: recunoașterea compensării în conformitate cu pct.27 din Regulamentul nr.XX/2025</w:t>
            </w:r>
          </w:p>
          <w:p w14:paraId="07130985" w14:textId="77777777"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Pct.27 din Regulamentul nr.XX/2025</w:t>
            </w:r>
          </w:p>
          <w:p w14:paraId="5394000F" w14:textId="0060EF57"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compensat din expunerea brută aferent acordurilor de tipul „cash pooling” (suma rândurilor 0195 și 0196) în conformitate cu pct.27 din Regulamentul nr.XX/2025.</w:t>
            </w:r>
          </w:p>
        </w:tc>
      </w:tr>
      <w:tr w:rsidR="007177D4" w:rsidRPr="00A05A6A" w14:paraId="45317644" w14:textId="77777777" w:rsidTr="00652989">
        <w:trPr>
          <w:trHeight w:val="190"/>
        </w:trPr>
        <w:tc>
          <w:tcPr>
            <w:tcW w:w="988" w:type="dxa"/>
          </w:tcPr>
          <w:p w14:paraId="060ED3D7" w14:textId="1337E843"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{0200;0010}</w:t>
            </w:r>
          </w:p>
        </w:tc>
        <w:tc>
          <w:tcPr>
            <w:tcW w:w="8788" w:type="dxa"/>
            <w:gridSpan w:val="2"/>
          </w:tcPr>
          <w:p w14:paraId="62D6110E"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Transformarea în valoare brută pentru garanţiile reale oferite pentru instrumentele financiare derivate </w:t>
            </w:r>
          </w:p>
          <w:p w14:paraId="49592133" w14:textId="77777777"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Pct.35 din  Regulamentul nr.XX/2025</w:t>
            </w:r>
          </w:p>
          <w:p w14:paraId="7B5B7691" w14:textId="2F2EF445" w:rsidR="007177D4" w:rsidRPr="000F57AA" w:rsidRDefault="00964A70" w:rsidP="007177D4">
            <w:pPr>
              <w:ind w:right="90"/>
              <w:rPr>
                <w:rFonts w:ascii="Times New Roman" w:hAnsi="Times New Roman" w:cs="Times New Roman"/>
                <w:lang w:val="ro-RO"/>
              </w:rPr>
            </w:pPr>
            <w:r w:rsidRPr="000F57AA">
              <w:rPr>
                <w:rFonts w:ascii="Times New Roman" w:hAnsi="Times New Roman" w:cs="Times New Roman"/>
                <w:lang w:val="ro-RO"/>
              </w:rPr>
              <w:t xml:space="preserve">        </w:t>
            </w:r>
            <w:r w:rsidR="007177D4" w:rsidRPr="000F57AA">
              <w:rPr>
                <w:rFonts w:ascii="Times New Roman" w:hAnsi="Times New Roman" w:cs="Times New Roman"/>
                <w:lang w:val="ro-RO"/>
              </w:rPr>
              <w:t xml:space="preserve">Cuantumul oricărei garanţii reale oferite pentru instrumente financiare derivate, atunci când oferirea respectivei garanţii reduce cuantumul activelor din cadrul contabil aplicabil, astfel cum este stabilit la pct.35 din  Regulamentul nr.XX/2025. </w:t>
            </w:r>
          </w:p>
          <w:p w14:paraId="01E18ED7" w14:textId="7EE09F18"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nu includ în această celulă marja iniţială pentru tranzacţiile cu instrumente financiare derivate compensate pentru clienţi care au fost încheiate cu o contraparte centrală calificată (CPCC) și nici marja de variaţie în numerar eligibilă, astfel cum este definită la pct.36-39 din Regulamentul nr.XX/2025.</w:t>
            </w:r>
          </w:p>
        </w:tc>
      </w:tr>
      <w:tr w:rsidR="007177D4" w:rsidRPr="00A05A6A" w14:paraId="2BE07135" w14:textId="77777777" w:rsidTr="00652989">
        <w:trPr>
          <w:trHeight w:val="190"/>
        </w:trPr>
        <w:tc>
          <w:tcPr>
            <w:tcW w:w="988" w:type="dxa"/>
          </w:tcPr>
          <w:p w14:paraId="227841C8" w14:textId="18531A3A"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{0210;0010}</w:t>
            </w:r>
          </w:p>
        </w:tc>
        <w:tc>
          <w:tcPr>
            <w:tcW w:w="8788" w:type="dxa"/>
            <w:gridSpan w:val="2"/>
          </w:tcPr>
          <w:p w14:paraId="4721E1B6" w14:textId="5BE72FC2" w:rsidR="007177D4" w:rsidRPr="000F57AA" w:rsidRDefault="00964A70" w:rsidP="007177D4">
            <w:pPr>
              <w:ind w:right="90"/>
              <w:rPr>
                <w:rFonts w:ascii="Times New Roman" w:hAnsi="Times New Roman" w:cs="Times New Roman"/>
                <w:b/>
                <w:bCs/>
                <w:lang w:val="ro-RO"/>
              </w:rPr>
            </w:pPr>
            <w:r w:rsidRPr="000F57AA">
              <w:rPr>
                <w:rFonts w:ascii="Times New Roman" w:hAnsi="Times New Roman" w:cs="Times New Roman"/>
                <w:b/>
                <w:bCs/>
                <w:lang w:val="ro-RO"/>
              </w:rPr>
              <w:t xml:space="preserve">       </w:t>
            </w:r>
            <w:r w:rsidR="007177D4" w:rsidRPr="000F57AA">
              <w:rPr>
                <w:rFonts w:ascii="Times New Roman" w:hAnsi="Times New Roman" w:cs="Times New Roman"/>
                <w:b/>
                <w:bCs/>
                <w:lang w:val="ro-RO"/>
              </w:rPr>
              <w:t xml:space="preserve">(–) Creanţe pentru marja de variaţie în numerar furnizate în tranzacţiile cu instrumente financiare derivate </w:t>
            </w:r>
          </w:p>
          <w:p w14:paraId="79DCD742" w14:textId="03565BDB" w:rsidR="007177D4" w:rsidRPr="000F57AA" w:rsidRDefault="00964A70" w:rsidP="007177D4">
            <w:pPr>
              <w:ind w:right="90"/>
              <w:rPr>
                <w:rFonts w:ascii="Times New Roman" w:hAnsi="Times New Roman" w:cs="Times New Roman"/>
                <w:lang w:val="ro-RO"/>
              </w:rPr>
            </w:pPr>
            <w:r w:rsidRPr="000F57AA">
              <w:rPr>
                <w:rFonts w:ascii="Times New Roman" w:hAnsi="Times New Roman" w:cs="Times New Roman"/>
                <w:lang w:val="ro-RO"/>
              </w:rPr>
              <w:t xml:space="preserve">       </w:t>
            </w:r>
            <w:r w:rsidR="007177D4" w:rsidRPr="000F57AA">
              <w:rPr>
                <w:rFonts w:ascii="Times New Roman" w:hAnsi="Times New Roman" w:cs="Times New Roman"/>
                <w:lang w:val="ro-RO"/>
              </w:rPr>
              <w:t xml:space="preserve">Subpct.36.3 din  Regulamentul nr.XX/2025 </w:t>
            </w:r>
          </w:p>
          <w:p w14:paraId="283AFE82" w14:textId="2EC97137" w:rsidR="007177D4" w:rsidRPr="000F57AA" w:rsidRDefault="007177D4" w:rsidP="007177D4">
            <w:pPr>
              <w:ind w:right="90"/>
              <w:rPr>
                <w:rFonts w:ascii="Times New Roman" w:hAnsi="Times New Roman" w:cs="Times New Roman"/>
                <w:lang w:val="ro-RO"/>
              </w:rPr>
            </w:pPr>
            <w:r w:rsidRPr="000F57AA">
              <w:rPr>
                <w:rFonts w:ascii="Times New Roman" w:hAnsi="Times New Roman" w:cs="Times New Roman"/>
                <w:lang w:val="ro-RO"/>
              </w:rPr>
              <w:t xml:space="preserve"> </w:t>
            </w:r>
            <w:r w:rsidR="00964A70" w:rsidRPr="000F57AA">
              <w:rPr>
                <w:rFonts w:ascii="Times New Roman" w:hAnsi="Times New Roman" w:cs="Times New Roman"/>
                <w:lang w:val="ro-RO"/>
              </w:rPr>
              <w:t xml:space="preserve">      </w:t>
            </w:r>
            <w:r w:rsidRPr="000F57AA">
              <w:rPr>
                <w:rFonts w:ascii="Times New Roman" w:hAnsi="Times New Roman" w:cs="Times New Roman"/>
                <w:lang w:val="ro-RO"/>
              </w:rPr>
              <w:t xml:space="preserve">Creanţele pentru marja de variaţie plătită în numerar contrapărţii în tranzacţiile cu instrumente financiare derivate, în cazul în care banca are obligaţia, în temeiul cadrului contabil aplicabil, să recunoască respectivele creanţe ca active, dacă sunt îndeplinite condiţiile de la subpct.36.1-36.5 din  Regulamentul nr.XX/2025. </w:t>
            </w:r>
          </w:p>
          <w:p w14:paraId="7A806CF2" w14:textId="7A427AB1"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de asemenea, în celelalte active raportate în {0190, 0010}.</w:t>
            </w:r>
          </w:p>
        </w:tc>
      </w:tr>
      <w:tr w:rsidR="007177D4" w:rsidRPr="00A05A6A" w14:paraId="63BCF307" w14:textId="77777777" w:rsidTr="00652989">
        <w:trPr>
          <w:trHeight w:val="190"/>
        </w:trPr>
        <w:tc>
          <w:tcPr>
            <w:tcW w:w="988" w:type="dxa"/>
          </w:tcPr>
          <w:p w14:paraId="174E6DCA" w14:textId="47A58E1B"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{0220;0010}</w:t>
            </w:r>
          </w:p>
        </w:tc>
        <w:tc>
          <w:tcPr>
            <w:tcW w:w="8788" w:type="dxa"/>
            <w:gridSpan w:val="2"/>
          </w:tcPr>
          <w:p w14:paraId="35496D56"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Segmentul CPC exclus din expunerile aferente tranzacţiilor compensate pentru clienţi (marjă iniţială) </w:t>
            </w:r>
          </w:p>
          <w:p w14:paraId="5CF459AD" w14:textId="69AFE00C"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4</w:t>
            </w:r>
            <w:r w:rsidRPr="000F57AA">
              <w:rPr>
                <w:rFonts w:ascii="Times New Roman" w:hAnsi="Times New Roman" w:cs="Times New Roman"/>
                <w:lang w:val="ro-RO"/>
              </w:rPr>
              <w:t xml:space="preserve"> din Regulamentul nr.XX/2025  </w:t>
            </w:r>
          </w:p>
          <w:p w14:paraId="36D6A677" w14:textId="0017EF35"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Partea aferentă marjei iniţiale (furnizate) din expunerile faţă de o CPCC excluse din tranzacţiile cu instrumente financiare derivate compensate pentru clienţi, dacă respectivele </w:t>
            </w:r>
            <w:r w:rsidRPr="000F57AA">
              <w:rPr>
                <w:rFonts w:ascii="Times New Roman" w:hAnsi="Times New Roman" w:cs="Times New Roman"/>
                <w:lang w:val="ro-RO"/>
              </w:rPr>
              <w:lastRenderedPageBreak/>
              <w:t xml:space="preserve">elemente îndeplinesc condiţiile prevăzute la subpct.130.3 din Regulamentul </w:t>
            </w:r>
            <w:r w:rsidR="002341DF" w:rsidRPr="000F57AA">
              <w:rPr>
                <w:rFonts w:ascii="Times New Roman" w:hAnsi="Times New Roman" w:cs="Times New Roman"/>
                <w:lang w:val="ro-RO"/>
              </w:rPr>
              <w:t>nr.YY/2025</w:t>
            </w:r>
            <w:r w:rsidRPr="000F57AA">
              <w:rPr>
                <w:rFonts w:ascii="Times New Roman" w:hAnsi="Times New Roman" w:cs="Times New Roman"/>
                <w:lang w:val="ro-RO"/>
              </w:rPr>
              <w:t>. Cuantumul raportat se include, de asemenea, în celelalte active raportate în {0190, 0010}.</w:t>
            </w:r>
          </w:p>
        </w:tc>
      </w:tr>
      <w:tr w:rsidR="007177D4" w:rsidRPr="00A05A6A" w14:paraId="44D68A2E" w14:textId="77777777" w:rsidTr="00652989">
        <w:trPr>
          <w:trHeight w:val="190"/>
        </w:trPr>
        <w:tc>
          <w:tcPr>
            <w:tcW w:w="988" w:type="dxa"/>
          </w:tcPr>
          <w:p w14:paraId="10FD1468" w14:textId="2A95FCCF"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lastRenderedPageBreak/>
              <w:t>{0230;0010}</w:t>
            </w:r>
          </w:p>
        </w:tc>
        <w:tc>
          <w:tcPr>
            <w:tcW w:w="8788" w:type="dxa"/>
            <w:gridSpan w:val="2"/>
          </w:tcPr>
          <w:p w14:paraId="57106A10"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Ajustări pentru tranzacţiile contabilizate ca vânzări de SFT-uri </w:t>
            </w:r>
          </w:p>
          <w:p w14:paraId="2BC1D1FD" w14:textId="09AB29FB"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Pct.</w:t>
            </w:r>
            <w:r w:rsidR="00004D14" w:rsidRPr="000F57AA">
              <w:rPr>
                <w:rFonts w:ascii="Times New Roman" w:hAnsi="Times New Roman" w:cs="Times New Roman"/>
                <w:lang w:val="ro-RO"/>
              </w:rPr>
              <w:t xml:space="preserve">59 </w:t>
            </w:r>
            <w:r w:rsidRPr="000F57AA">
              <w:rPr>
                <w:rFonts w:ascii="Times New Roman" w:hAnsi="Times New Roman" w:cs="Times New Roman"/>
                <w:lang w:val="ro-RO"/>
              </w:rPr>
              <w:t>din Regulamentul nr.XX/2025</w:t>
            </w:r>
          </w:p>
          <w:p w14:paraId="5804A263" w14:textId="45A19926"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Valoarea titlurilor date cu împrumut în cadrul unei tranzacţii de răscumpărare care sunt derecunoscute ca urmare a unei tranzacţii contabilizate ca vânzare în temeiul cadrului contabil aplicabil.</w:t>
            </w:r>
          </w:p>
        </w:tc>
      </w:tr>
      <w:tr w:rsidR="007177D4" w:rsidRPr="00A05A6A" w14:paraId="6C2F5089" w14:textId="77777777" w:rsidTr="00652989">
        <w:trPr>
          <w:trHeight w:val="190"/>
        </w:trPr>
        <w:tc>
          <w:tcPr>
            <w:tcW w:w="988" w:type="dxa"/>
          </w:tcPr>
          <w:p w14:paraId="167D7F87" w14:textId="779866DB"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{0235;0010}</w:t>
            </w:r>
          </w:p>
        </w:tc>
        <w:tc>
          <w:tcPr>
            <w:tcW w:w="8788" w:type="dxa"/>
            <w:gridSpan w:val="2"/>
          </w:tcPr>
          <w:p w14:paraId="2CAEDE1D"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Reducerea valorii expunerii împrumuturilor de prefinanţare sau a împrumuturilor intermediare </w:t>
            </w:r>
          </w:p>
          <w:p w14:paraId="4B8BD06E" w14:textId="77777777"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Pct.17-18  din Regulamentul nr.XX/2025</w:t>
            </w:r>
          </w:p>
          <w:p w14:paraId="4DC7FA41" w14:textId="77777777"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 xml:space="preserve">Cuantumul redus din valoarea expunerii unui împrumut de prefinanţare sau a unui împrumut intermediar, în conformitate cu pct.17-18  din Regulamentul nr.XX/2025. </w:t>
            </w:r>
          </w:p>
          <w:p w14:paraId="67922200" w14:textId="0BD877D8"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de asemenea, în celelalte active raportate în {0190, 0010}.</w:t>
            </w:r>
          </w:p>
        </w:tc>
      </w:tr>
      <w:tr w:rsidR="007177D4" w:rsidRPr="00A05A6A" w14:paraId="36B77CCF" w14:textId="77777777" w:rsidTr="00652989">
        <w:trPr>
          <w:trHeight w:val="190"/>
        </w:trPr>
        <w:tc>
          <w:tcPr>
            <w:tcW w:w="988" w:type="dxa"/>
          </w:tcPr>
          <w:p w14:paraId="112AD432" w14:textId="347CA461"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{0240;0010}</w:t>
            </w:r>
          </w:p>
        </w:tc>
        <w:tc>
          <w:tcPr>
            <w:tcW w:w="8788" w:type="dxa"/>
            <w:gridSpan w:val="2"/>
          </w:tcPr>
          <w:p w14:paraId="2CBAEC4A"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Active fiduciare </w:t>
            </w:r>
          </w:p>
          <w:p w14:paraId="1A079E90" w14:textId="1B330D18"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Subpct.19.</w:t>
            </w:r>
            <w:r w:rsidR="005A53B9" w:rsidRPr="000F57AA">
              <w:rPr>
                <w:rFonts w:ascii="Times New Roman" w:hAnsi="Times New Roman" w:cs="Times New Roman"/>
                <w:lang w:val="ro-RO"/>
              </w:rPr>
              <w:t>6</w:t>
            </w:r>
            <w:r w:rsidRPr="000F57AA">
              <w:rPr>
                <w:rFonts w:ascii="Times New Roman" w:hAnsi="Times New Roman" w:cs="Times New Roman"/>
                <w:lang w:val="ro-RO"/>
              </w:rPr>
              <w:t xml:space="preserve"> din Regulamentul nr.XX/2025</w:t>
            </w:r>
          </w:p>
          <w:p w14:paraId="26E7BED1" w14:textId="0C18A346" w:rsidR="00964A70" w:rsidRPr="000F57AA" w:rsidRDefault="007177D4" w:rsidP="007177D4">
            <w:pPr>
              <w:ind w:firstLine="465"/>
              <w:rPr>
                <w:rFonts w:ascii="Times New Roman" w:hAnsi="Times New Roman" w:cs="Times New Roman"/>
                <w:lang w:val="ro-RO"/>
              </w:rPr>
            </w:pPr>
            <w:r w:rsidRPr="000F57AA">
              <w:rPr>
                <w:rFonts w:ascii="Times New Roman" w:hAnsi="Times New Roman" w:cs="Times New Roman"/>
                <w:lang w:val="ro-RO"/>
              </w:rPr>
              <w:t xml:space="preserve">Valoarea activelor fiduciare care sunt recunoscute în bilanţul </w:t>
            </w:r>
            <w:r w:rsidR="001B57B6" w:rsidRPr="000F57AA">
              <w:rPr>
                <w:rFonts w:ascii="Times New Roman" w:hAnsi="Times New Roman" w:cs="Times New Roman"/>
                <w:lang w:val="ro-RO"/>
              </w:rPr>
              <w:t xml:space="preserve">băncii </w:t>
            </w:r>
            <w:r w:rsidRPr="000F57AA">
              <w:rPr>
                <w:rFonts w:ascii="Times New Roman" w:hAnsi="Times New Roman" w:cs="Times New Roman"/>
                <w:lang w:val="ro-RO"/>
              </w:rPr>
              <w:t>în concordanţă cu principiile contabile naţionale general acceptate, îndeplinesc criteriile pentru derecunoaștere din IFRS 9 și, când este cazul, criteriile pentru neconsolidare din IFRS 10, în conformitate cu subpct.19.</w:t>
            </w:r>
            <w:r w:rsidR="005A53B9" w:rsidRPr="000F57AA">
              <w:rPr>
                <w:rFonts w:ascii="Times New Roman" w:hAnsi="Times New Roman" w:cs="Times New Roman"/>
                <w:lang w:val="ro-RO"/>
              </w:rPr>
              <w:t>6</w:t>
            </w:r>
            <w:r w:rsidRPr="000F57AA">
              <w:rPr>
                <w:rFonts w:ascii="Times New Roman" w:hAnsi="Times New Roman" w:cs="Times New Roman"/>
                <w:lang w:val="ro-RO"/>
              </w:rPr>
              <w:t xml:space="preserve"> din Regulamentul nr.XX/2025, presupunând că nu există efecte ale compensării contabile sau alte efecte ale CRM (se reiau eventualele efecte ale compensării contabile sau ale CRM care s-au răsfrânt asupra valorii contabile). </w:t>
            </w:r>
          </w:p>
          <w:p w14:paraId="331B3B1C" w14:textId="3082D9BC"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de asemenea, în celelalte active raportate în {0190, 0010}.</w:t>
            </w:r>
          </w:p>
        </w:tc>
      </w:tr>
      <w:tr w:rsidR="007177D4" w:rsidRPr="00A05A6A" w14:paraId="4C0553BD" w14:textId="77777777" w:rsidTr="00652989">
        <w:trPr>
          <w:trHeight w:val="190"/>
        </w:trPr>
        <w:tc>
          <w:tcPr>
            <w:tcW w:w="988" w:type="dxa"/>
          </w:tcPr>
          <w:p w14:paraId="2FA82967" w14:textId="640BD0EF" w:rsidR="007177D4" w:rsidRPr="000F57AA" w:rsidRDefault="007177D4" w:rsidP="007177D4">
            <w:pPr>
              <w:rPr>
                <w:rFonts w:ascii="Times New Roman" w:eastAsia="Times New Roman" w:hAnsi="Times New Roman" w:cs="Times New Roman"/>
                <w:lang w:val="ro-RO"/>
              </w:rPr>
            </w:pPr>
            <w:r w:rsidRPr="000F57AA">
              <w:rPr>
                <w:rFonts w:ascii="Times New Roman" w:hAnsi="Times New Roman" w:cs="Times New Roman"/>
                <w:lang w:val="ro-RO"/>
              </w:rPr>
              <w:t>{0250;0010}</w:t>
            </w:r>
          </w:p>
        </w:tc>
        <w:tc>
          <w:tcPr>
            <w:tcW w:w="8788" w:type="dxa"/>
            <w:gridSpan w:val="2"/>
          </w:tcPr>
          <w:p w14:paraId="345B50EB" w14:textId="77777777" w:rsidR="007177D4" w:rsidRPr="000F57AA" w:rsidRDefault="007177D4"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Expuneri intragrup (pe bază individuală) excluse în conformitate cu subpct.19.2 din Regulamentul nr.XX/2025</w:t>
            </w:r>
          </w:p>
          <w:p w14:paraId="2E3C1705" w14:textId="1BE23F86" w:rsidR="007177D4" w:rsidRPr="000F57AA" w:rsidRDefault="007177D4" w:rsidP="00964A70">
            <w:pPr>
              <w:ind w:right="90" w:firstLine="465"/>
              <w:rPr>
                <w:rFonts w:ascii="Times New Roman" w:hAnsi="Times New Roman" w:cs="Times New Roman"/>
                <w:lang w:val="ro-RO"/>
              </w:rPr>
            </w:pPr>
            <w:r w:rsidRPr="000F57AA">
              <w:rPr>
                <w:rFonts w:ascii="Times New Roman" w:hAnsi="Times New Roman" w:cs="Times New Roman"/>
                <w:lang w:val="ro-RO"/>
              </w:rPr>
              <w:t>Subpct.19.2 din Regulamentul nr.XX/2025</w:t>
            </w:r>
            <w:r w:rsidR="00004D14" w:rsidRPr="000F57AA">
              <w:rPr>
                <w:rFonts w:ascii="Times New Roman" w:hAnsi="Times New Roman" w:cs="Times New Roman"/>
                <w:lang w:val="ro-RO"/>
              </w:rPr>
              <w:t xml:space="preserve"> </w:t>
            </w:r>
            <w:r w:rsidRPr="000F57AA">
              <w:rPr>
                <w:rFonts w:ascii="Times New Roman" w:hAnsi="Times New Roman" w:cs="Times New Roman"/>
                <w:lang w:val="ro-RO"/>
              </w:rPr>
              <w:t xml:space="preserve">și pct.19-21 din Regulamentul nr.111/2018 </w:t>
            </w:r>
          </w:p>
          <w:p w14:paraId="61491707" w14:textId="524BF7E0" w:rsidR="007177D4" w:rsidRPr="000F57AA" w:rsidRDefault="007177D4" w:rsidP="007177D4">
            <w:pPr>
              <w:ind w:firstLine="465"/>
              <w:rPr>
                <w:rFonts w:ascii="Times New Roman" w:eastAsia="Times New Roman" w:hAnsi="Times New Roman" w:cs="Times New Roman"/>
                <w:b/>
                <w:bCs/>
                <w:lang w:val="ro-RO"/>
              </w:rPr>
            </w:pPr>
            <w:r w:rsidRPr="000F57AA">
              <w:rPr>
                <w:rFonts w:ascii="Times New Roman" w:hAnsi="Times New Roman" w:cs="Times New Roman"/>
                <w:lang w:val="ro-RO"/>
              </w:rPr>
              <w:t>Expuneri care nu au fost consolidate la nivelul aplicabil de consolidare și care pot beneficia de tratamentul prevăzut la pct.19-21 din Regulamentul nr.111/2018, dacă sunt îndeplinite toate condiţiile prevăzute la pct.20 subpct.1)-5) din Regulamentul nr.111/2018 și dacă BNM și-a dat aprobarea. Cuantumul raportat se include și în celulele aplicabile de mai sus, ca și cum nu s-ar fi aplicat nicio excludere.</w:t>
            </w:r>
          </w:p>
        </w:tc>
      </w:tr>
      <w:tr w:rsidR="00717FB0" w:rsidRPr="000F57AA" w14:paraId="4F12B544" w14:textId="77777777" w:rsidTr="00652989">
        <w:trPr>
          <w:trHeight w:val="190"/>
        </w:trPr>
        <w:tc>
          <w:tcPr>
            <w:tcW w:w="988" w:type="dxa"/>
          </w:tcPr>
          <w:p w14:paraId="41FDCC89" w14:textId="29862848" w:rsidR="00717FB0" w:rsidRPr="000F57AA" w:rsidRDefault="00717FB0" w:rsidP="00717FB0">
            <w:pPr>
              <w:rPr>
                <w:rFonts w:ascii="Times New Roman" w:eastAsia="Times New Roman" w:hAnsi="Times New Roman" w:cs="Times New Roman"/>
                <w:lang w:val="ro-RO"/>
              </w:rPr>
            </w:pPr>
            <w:r w:rsidRPr="000F57AA">
              <w:rPr>
                <w:rFonts w:ascii="Times New Roman" w:hAnsi="Times New Roman" w:cs="Times New Roman"/>
                <w:lang w:val="ro-RO"/>
              </w:rPr>
              <w:t>{0251;0010}</w:t>
            </w:r>
          </w:p>
        </w:tc>
        <w:tc>
          <w:tcPr>
            <w:tcW w:w="7371" w:type="dxa"/>
          </w:tcPr>
          <w:p w14:paraId="3079424A" w14:textId="1451EC5D" w:rsidR="00717FB0" w:rsidRPr="000F57AA" w:rsidRDefault="00717FB0" w:rsidP="00964A70">
            <w:pPr>
              <w:ind w:right="90" w:firstLine="465"/>
              <w:rPr>
                <w:rFonts w:ascii="Times New Roman" w:eastAsia="Times New Roman" w:hAnsi="Times New Roman" w:cs="Times New Roman"/>
                <w:lang w:val="ro-RO" w:eastAsia="ru-RU"/>
                <w14:ligatures w14:val="standardContextual"/>
              </w:rPr>
            </w:pPr>
            <w:r w:rsidRPr="000F57AA">
              <w:rPr>
                <w:rFonts w:ascii="Times New Roman" w:eastAsia="Times New Roman" w:hAnsi="Times New Roman" w:cs="Times New Roman"/>
                <w:b/>
                <w:bCs/>
                <w:lang w:val="ro-RO" w:eastAsia="ru-RU"/>
                <w14:ligatures w14:val="standardContextual"/>
              </w:rPr>
              <w:t xml:space="preserve">(–) Expuneri </w:t>
            </w:r>
            <w:r w:rsidR="007E5FC8" w:rsidRPr="000F57AA">
              <w:rPr>
                <w:rFonts w:ascii="Times New Roman" w:eastAsia="Times New Roman" w:hAnsi="Times New Roman" w:cs="Times New Roman"/>
                <w:b/>
                <w:bCs/>
                <w:lang w:val="ro-RO" w:eastAsia="ru-RU"/>
                <w14:ligatures w14:val="standardContextual"/>
              </w:rPr>
              <w:t>din cadrul</w:t>
            </w:r>
            <w:r w:rsidR="007E5FC8" w:rsidRPr="000F57AA" w:rsidDel="007E5FC8">
              <w:rPr>
                <w:rFonts w:ascii="Times New Roman" w:eastAsia="Times New Roman" w:hAnsi="Times New Roman" w:cs="Times New Roman"/>
                <w:b/>
                <w:bCs/>
                <w:lang w:val="ro-RO" w:eastAsia="ru-RU"/>
                <w14:ligatures w14:val="standardContextual"/>
              </w:rPr>
              <w:t xml:space="preserve"> </w:t>
            </w:r>
            <w:r w:rsidRPr="000F57AA">
              <w:rPr>
                <w:rFonts w:ascii="Times New Roman" w:eastAsia="Times New Roman" w:hAnsi="Times New Roman" w:cs="Times New Roman"/>
                <w:b/>
                <w:bCs/>
                <w:lang w:val="ro-RO" w:eastAsia="ru-RU"/>
                <w14:ligatures w14:val="standardContextual"/>
              </w:rPr>
              <w:t xml:space="preserve">unui sistem instituţional de protecţie excluse </w:t>
            </w:r>
          </w:p>
        </w:tc>
        <w:tc>
          <w:tcPr>
            <w:tcW w:w="1417" w:type="dxa"/>
          </w:tcPr>
          <w:p w14:paraId="409C8121" w14:textId="4EF4BF64" w:rsidR="00717FB0" w:rsidRPr="000F57AA" w:rsidRDefault="00717FB0" w:rsidP="00717FB0">
            <w:pPr>
              <w:spacing w:after="160" w:line="259" w:lineRule="auto"/>
              <w:ind w:right="90"/>
              <w:rPr>
                <w:rFonts w:ascii="Times New Roman" w:eastAsia="Times New Roman" w:hAnsi="Times New Roman" w:cs="Times New Roman"/>
                <w:b/>
                <w:bCs/>
                <w:lang w:val="ro-RO"/>
              </w:rPr>
            </w:pPr>
            <w:r w:rsidRPr="000F57AA">
              <w:rPr>
                <w:rFonts w:ascii="Times New Roman" w:hAnsi="Times New Roman" w:cs="Times New Roman"/>
                <w:lang w:val="ro-RO"/>
              </w:rPr>
              <w:t>blocat</w:t>
            </w:r>
          </w:p>
        </w:tc>
      </w:tr>
      <w:tr w:rsidR="00B0789A" w:rsidRPr="00A05A6A" w14:paraId="1E7B204B" w14:textId="77777777" w:rsidTr="00527FFA">
        <w:trPr>
          <w:trHeight w:val="190"/>
        </w:trPr>
        <w:tc>
          <w:tcPr>
            <w:tcW w:w="988" w:type="dxa"/>
          </w:tcPr>
          <w:p w14:paraId="5A8EFBC1" w14:textId="2105F111" w:rsidR="00B0789A" w:rsidRPr="000F57AA" w:rsidRDefault="00B0789A" w:rsidP="00964A70">
            <w:pPr>
              <w:rPr>
                <w:rFonts w:ascii="Times New Roman" w:eastAsia="Times New Roman" w:hAnsi="Times New Roman" w:cs="Times New Roman"/>
                <w:lang w:val="ro-RO"/>
              </w:rPr>
            </w:pPr>
            <w:r w:rsidRPr="000F57AA">
              <w:rPr>
                <w:rFonts w:ascii="Times New Roman" w:hAnsi="Times New Roman" w:cs="Times New Roman"/>
                <w:lang w:val="ro-RO"/>
              </w:rPr>
              <w:t>{0252;0010}</w:t>
            </w:r>
          </w:p>
        </w:tc>
        <w:tc>
          <w:tcPr>
            <w:tcW w:w="8788" w:type="dxa"/>
            <w:gridSpan w:val="2"/>
          </w:tcPr>
          <w:p w14:paraId="0F74AFAF" w14:textId="77777777" w:rsidR="00B0789A" w:rsidRPr="000F57AA" w:rsidRDefault="00B0789A"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Părţile garantate excluse ale expunerilor care decurg din credite de export </w:t>
            </w:r>
          </w:p>
          <w:p w14:paraId="07F21BA4" w14:textId="5517E75E" w:rsidR="00E32CB8" w:rsidRPr="000F57AA" w:rsidRDefault="00C85A50" w:rsidP="00E32CB8">
            <w:pPr>
              <w:rPr>
                <w:rFonts w:ascii="Times New Roman" w:hAnsi="Times New Roman" w:cs="Times New Roman"/>
                <w:lang w:val="ro-RO"/>
              </w:rPr>
            </w:pPr>
            <w:r w:rsidRPr="000F57AA">
              <w:rPr>
                <w:rFonts w:ascii="Times New Roman" w:hAnsi="Times New Roman" w:cs="Times New Roman"/>
                <w:lang w:val="ro-RO"/>
              </w:rPr>
              <w:t xml:space="preserve">        </w:t>
            </w:r>
            <w:r w:rsidR="00E32CB8" w:rsidRPr="000F57AA">
              <w:rPr>
                <w:rFonts w:ascii="Times New Roman" w:hAnsi="Times New Roman" w:cs="Times New Roman"/>
                <w:lang w:val="ro-RO"/>
              </w:rPr>
              <w:t xml:space="preserve">Pct.19.3 din Regulamentul XX/2025 </w:t>
            </w:r>
          </w:p>
          <w:p w14:paraId="3A5D0AFB" w14:textId="3B9EE11C" w:rsidR="00E32CB8" w:rsidRPr="000F57AA" w:rsidRDefault="00C85A50" w:rsidP="00E32CB8">
            <w:pPr>
              <w:rPr>
                <w:rFonts w:ascii="Times New Roman" w:eastAsia="Times New Roman" w:hAnsi="Times New Roman" w:cs="Times New Roman"/>
                <w:b/>
                <w:bCs/>
                <w:lang w:val="ro-RO"/>
              </w:rPr>
            </w:pPr>
            <w:r w:rsidRPr="000F57AA">
              <w:rPr>
                <w:rFonts w:ascii="Times New Roman" w:hAnsi="Times New Roman" w:cs="Times New Roman"/>
                <w:lang w:val="ro-RO"/>
              </w:rPr>
              <w:t xml:space="preserve">        </w:t>
            </w:r>
            <w:r w:rsidR="00E32CB8" w:rsidRPr="000F57AA">
              <w:rPr>
                <w:rFonts w:ascii="Times New Roman" w:hAnsi="Times New Roman" w:cs="Times New Roman"/>
                <w:lang w:val="ro-RO"/>
              </w:rPr>
              <w:t xml:space="preserve">Părţile garantate ale expunerilor care decurg din credite de export care pot fi excluse atunci când sunt îndeplinite condiţiile prevăzute la </w:t>
            </w:r>
            <w:r w:rsidRPr="000F57AA">
              <w:rPr>
                <w:rFonts w:ascii="Times New Roman" w:hAnsi="Times New Roman" w:cs="Times New Roman"/>
                <w:lang w:val="ro-RO"/>
              </w:rPr>
              <w:t>pct.19.3 din Regulamentul nr.XX/2025</w:t>
            </w:r>
            <w:r w:rsidR="00E32CB8" w:rsidRPr="000F57AA">
              <w:rPr>
                <w:rFonts w:ascii="Times New Roman" w:hAnsi="Times New Roman" w:cs="Times New Roman"/>
                <w:lang w:val="ro-RO"/>
              </w:rPr>
              <w:t>. Cuantumul raportat se include și în celulele aplicabile de mai sus, ca și cum nu s-ar fi aplicat nicio excludere.</w:t>
            </w:r>
          </w:p>
        </w:tc>
      </w:tr>
      <w:tr w:rsidR="00964A70" w:rsidRPr="00A05A6A" w14:paraId="41A5A580" w14:textId="77777777" w:rsidTr="00652989">
        <w:trPr>
          <w:trHeight w:val="190"/>
        </w:trPr>
        <w:tc>
          <w:tcPr>
            <w:tcW w:w="988" w:type="dxa"/>
          </w:tcPr>
          <w:p w14:paraId="68563E19" w14:textId="7E73193A" w:rsidR="00964A70" w:rsidRPr="000F57AA" w:rsidRDefault="00964A70" w:rsidP="00964A70">
            <w:pPr>
              <w:rPr>
                <w:rFonts w:ascii="Times New Roman" w:eastAsia="Times New Roman" w:hAnsi="Times New Roman" w:cs="Times New Roman"/>
                <w:lang w:val="ro-RO"/>
              </w:rPr>
            </w:pPr>
            <w:r w:rsidRPr="000F57AA">
              <w:rPr>
                <w:rFonts w:ascii="Times New Roman" w:hAnsi="Times New Roman" w:cs="Times New Roman"/>
                <w:lang w:val="ro-RO"/>
              </w:rPr>
              <w:t>{0253;0010}</w:t>
            </w:r>
          </w:p>
        </w:tc>
        <w:tc>
          <w:tcPr>
            <w:tcW w:w="8788" w:type="dxa"/>
            <w:gridSpan w:val="2"/>
          </w:tcPr>
          <w:p w14:paraId="209BC3F4" w14:textId="77777777" w:rsidR="00964A70" w:rsidRPr="000F57AA" w:rsidRDefault="00964A70" w:rsidP="00964A70">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Garanţiile reale excedentare depuse la agenţi tripartiţi excluse </w:t>
            </w:r>
          </w:p>
          <w:p w14:paraId="12B9211D" w14:textId="3290319D" w:rsidR="00964A70" w:rsidRPr="000F57AA" w:rsidRDefault="00964A70" w:rsidP="00964A70">
            <w:pPr>
              <w:ind w:right="90" w:firstLine="465"/>
              <w:rPr>
                <w:rFonts w:ascii="Times New Roman" w:hAnsi="Times New Roman" w:cs="Times New Roman"/>
                <w:lang w:val="ro-RO"/>
              </w:rPr>
            </w:pPr>
            <w:r w:rsidRPr="000F57AA">
              <w:rPr>
                <w:rFonts w:ascii="Times New Roman" w:hAnsi="Times New Roman" w:cs="Times New Roman"/>
                <w:lang w:val="ro-RO"/>
              </w:rPr>
              <w:t>Subpct.19.</w:t>
            </w:r>
            <w:r w:rsidR="00017352" w:rsidRPr="000F57AA">
              <w:rPr>
                <w:rFonts w:ascii="Times New Roman" w:hAnsi="Times New Roman" w:cs="Times New Roman"/>
                <w:lang w:val="ro-RO"/>
              </w:rPr>
              <w:t>8</w:t>
            </w:r>
            <w:r w:rsidRPr="000F57AA">
              <w:rPr>
                <w:rFonts w:ascii="Times New Roman" w:hAnsi="Times New Roman" w:cs="Times New Roman"/>
                <w:lang w:val="ro-RO"/>
              </w:rPr>
              <w:t xml:space="preserve"> din Regulamentul nr.XX/2025 Garanţiile reale excedentare depuse la agenţi tripartiţi care nu au fost date cu împrumut, care pot fi excluse în conformitate cu subpct.19.</w:t>
            </w:r>
            <w:r w:rsidR="00017352" w:rsidRPr="000F57AA">
              <w:rPr>
                <w:rFonts w:ascii="Times New Roman" w:hAnsi="Times New Roman" w:cs="Times New Roman"/>
                <w:lang w:val="ro-RO"/>
              </w:rPr>
              <w:t>8</w:t>
            </w:r>
            <w:r w:rsidRPr="000F57AA">
              <w:rPr>
                <w:rFonts w:ascii="Times New Roman" w:hAnsi="Times New Roman" w:cs="Times New Roman"/>
                <w:lang w:val="ro-RO"/>
              </w:rPr>
              <w:t xml:space="preserve"> din Regulamentul nr.XX/2025. </w:t>
            </w:r>
          </w:p>
          <w:p w14:paraId="4F992823" w14:textId="63381539" w:rsidR="00964A70" w:rsidRPr="000F57AA" w:rsidRDefault="00964A70" w:rsidP="00964A70">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și în celulele aplicabile de mai sus, ca și cum nu s-ar fi aplicat nicio excludere.</w:t>
            </w:r>
          </w:p>
        </w:tc>
      </w:tr>
      <w:tr w:rsidR="00D05DB8" w:rsidRPr="000F57AA" w14:paraId="33492EBE" w14:textId="77777777" w:rsidTr="00652989">
        <w:trPr>
          <w:trHeight w:val="190"/>
        </w:trPr>
        <w:tc>
          <w:tcPr>
            <w:tcW w:w="988" w:type="dxa"/>
          </w:tcPr>
          <w:p w14:paraId="3E823305" w14:textId="1C69BAD1" w:rsidR="00D05DB8" w:rsidRPr="000F57AA" w:rsidRDefault="00D05DB8" w:rsidP="00D05DB8">
            <w:pPr>
              <w:rPr>
                <w:rFonts w:ascii="Times New Roman" w:eastAsia="Times New Roman" w:hAnsi="Times New Roman" w:cs="Times New Roman"/>
                <w:lang w:val="ro-RO"/>
              </w:rPr>
            </w:pPr>
            <w:r w:rsidRPr="000F57AA">
              <w:rPr>
                <w:rFonts w:ascii="Times New Roman" w:hAnsi="Times New Roman" w:cs="Times New Roman"/>
                <w:lang w:val="ro-RO"/>
              </w:rPr>
              <w:t>{0254;0010}</w:t>
            </w:r>
          </w:p>
        </w:tc>
        <w:tc>
          <w:tcPr>
            <w:tcW w:w="7371" w:type="dxa"/>
          </w:tcPr>
          <w:p w14:paraId="53163A74" w14:textId="77777777" w:rsidR="00D05DB8" w:rsidRPr="000F57AA" w:rsidRDefault="00D05DB8" w:rsidP="00D05DB8">
            <w:pPr>
              <w:ind w:right="90" w:firstLine="465"/>
              <w:rPr>
                <w:rFonts w:ascii="Times New Roman" w:hAnsi="Times New Roman" w:cs="Times New Roman"/>
                <w:lang w:val="ro-RO"/>
              </w:rPr>
            </w:pPr>
            <w:r w:rsidRPr="000F57AA">
              <w:rPr>
                <w:rFonts w:ascii="Times New Roman" w:hAnsi="Times New Roman" w:cs="Times New Roman"/>
                <w:b/>
                <w:bCs/>
                <w:lang w:val="ro-RO"/>
              </w:rPr>
              <w:t>(–) Expuneri securitizate care reprezintă un transfer semnificativ al riscului excluse</w:t>
            </w:r>
            <w:r w:rsidRPr="000F57AA">
              <w:rPr>
                <w:rFonts w:ascii="Times New Roman" w:hAnsi="Times New Roman" w:cs="Times New Roman"/>
                <w:lang w:val="ro-RO"/>
              </w:rPr>
              <w:t xml:space="preserve"> </w:t>
            </w:r>
          </w:p>
        </w:tc>
        <w:tc>
          <w:tcPr>
            <w:tcW w:w="1417" w:type="dxa"/>
          </w:tcPr>
          <w:p w14:paraId="23EC175E" w14:textId="4D8ACE26" w:rsidR="00D05DB8" w:rsidRPr="000F57AA" w:rsidRDefault="00D05DB8" w:rsidP="00D05DB8">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D05DB8" w:rsidRPr="00A05A6A" w14:paraId="5B2B4548" w14:textId="77777777" w:rsidTr="00652989">
        <w:trPr>
          <w:trHeight w:val="190"/>
        </w:trPr>
        <w:tc>
          <w:tcPr>
            <w:tcW w:w="988" w:type="dxa"/>
          </w:tcPr>
          <w:p w14:paraId="3D95599C" w14:textId="5BCB8717" w:rsidR="00D05DB8" w:rsidRPr="000F57AA" w:rsidRDefault="00D05DB8" w:rsidP="00D05DB8">
            <w:pPr>
              <w:rPr>
                <w:rFonts w:ascii="Times New Roman" w:eastAsia="Times New Roman" w:hAnsi="Times New Roman" w:cs="Times New Roman"/>
                <w:lang w:val="ro-RO"/>
              </w:rPr>
            </w:pPr>
            <w:r w:rsidRPr="000F57AA">
              <w:rPr>
                <w:rFonts w:ascii="Times New Roman" w:hAnsi="Times New Roman" w:cs="Times New Roman"/>
                <w:lang w:val="ro-RO"/>
              </w:rPr>
              <w:t>{0255;0010}</w:t>
            </w:r>
          </w:p>
        </w:tc>
        <w:tc>
          <w:tcPr>
            <w:tcW w:w="8788" w:type="dxa"/>
            <w:gridSpan w:val="2"/>
          </w:tcPr>
          <w:p w14:paraId="2A0A588B" w14:textId="60CC216F" w:rsidR="00D05DB8" w:rsidRPr="000F57AA" w:rsidRDefault="00D05DB8" w:rsidP="00D05DB8">
            <w:pPr>
              <w:ind w:right="90" w:firstLine="465"/>
              <w:rPr>
                <w:rFonts w:ascii="Times New Roman" w:hAnsi="Times New Roman" w:cs="Times New Roman"/>
                <w:b/>
                <w:bCs/>
                <w:lang w:val="ro-RO"/>
              </w:rPr>
            </w:pPr>
            <w:r w:rsidRPr="000F57AA">
              <w:rPr>
                <w:rFonts w:ascii="Times New Roman" w:hAnsi="Times New Roman" w:cs="Times New Roman"/>
                <w:b/>
                <w:bCs/>
                <w:lang w:val="ro-RO"/>
              </w:rPr>
              <w:t>(–) Expuneri faţă de banca centrală excluse în conformitate cu subpct.19.</w:t>
            </w:r>
            <w:r w:rsidR="00017352" w:rsidRPr="000F57AA">
              <w:rPr>
                <w:rFonts w:ascii="Times New Roman" w:hAnsi="Times New Roman" w:cs="Times New Roman"/>
                <w:b/>
                <w:bCs/>
                <w:lang w:val="ro-RO"/>
              </w:rPr>
              <w:t>10</w:t>
            </w:r>
            <w:r w:rsidRPr="000F57AA">
              <w:rPr>
                <w:rFonts w:ascii="Times New Roman" w:hAnsi="Times New Roman" w:cs="Times New Roman"/>
                <w:b/>
                <w:bCs/>
                <w:lang w:val="ro-RO"/>
              </w:rPr>
              <w:t xml:space="preserve"> din Regulamentul nr.XX/2025</w:t>
            </w:r>
          </w:p>
          <w:p w14:paraId="64E4A3E5" w14:textId="122B9185" w:rsidR="00D05DB8" w:rsidRPr="000F57AA" w:rsidRDefault="00D05DB8" w:rsidP="00D05DB8">
            <w:pPr>
              <w:ind w:firstLine="465"/>
              <w:rPr>
                <w:rFonts w:ascii="Times New Roman" w:hAnsi="Times New Roman" w:cs="Times New Roman"/>
                <w:lang w:val="ro-RO"/>
              </w:rPr>
            </w:pPr>
            <w:r w:rsidRPr="000F57AA">
              <w:rPr>
                <w:rFonts w:ascii="Times New Roman" w:hAnsi="Times New Roman" w:cs="Times New Roman"/>
                <w:lang w:val="ro-RO"/>
              </w:rPr>
              <w:t>Subpct.19.</w:t>
            </w:r>
            <w:r w:rsidR="00017352" w:rsidRPr="000F57AA">
              <w:rPr>
                <w:rFonts w:ascii="Times New Roman" w:hAnsi="Times New Roman" w:cs="Times New Roman"/>
                <w:lang w:val="ro-RO"/>
              </w:rPr>
              <w:t>10</w:t>
            </w:r>
            <w:r w:rsidRPr="000F57AA">
              <w:rPr>
                <w:rFonts w:ascii="Times New Roman" w:hAnsi="Times New Roman" w:cs="Times New Roman"/>
                <w:lang w:val="ro-RO"/>
              </w:rPr>
              <w:t xml:space="preserve"> din Regulamentul nr.XX/2025 </w:t>
            </w:r>
          </w:p>
          <w:p w14:paraId="259B8ADF" w14:textId="20472860" w:rsidR="00D05DB8" w:rsidRPr="000F57AA" w:rsidRDefault="00D05DB8" w:rsidP="00D05DB8">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și în celulele aplicabile de mai sus, ca și cum nu s-ar fi aplicat nicio excludere.</w:t>
            </w:r>
          </w:p>
        </w:tc>
      </w:tr>
      <w:tr w:rsidR="00D05DB8" w:rsidRPr="000F57AA" w14:paraId="302F68FF" w14:textId="77777777" w:rsidTr="00652989">
        <w:trPr>
          <w:trHeight w:val="190"/>
        </w:trPr>
        <w:tc>
          <w:tcPr>
            <w:tcW w:w="988" w:type="dxa"/>
          </w:tcPr>
          <w:p w14:paraId="1BF6B415" w14:textId="13A8ED77" w:rsidR="00D05DB8" w:rsidRPr="000F57AA" w:rsidRDefault="00D05DB8" w:rsidP="00D05DB8">
            <w:pPr>
              <w:rPr>
                <w:rFonts w:ascii="Times New Roman" w:eastAsia="Times New Roman" w:hAnsi="Times New Roman" w:cs="Times New Roman"/>
                <w:lang w:val="ro-RO"/>
              </w:rPr>
            </w:pPr>
            <w:r w:rsidRPr="000F57AA">
              <w:rPr>
                <w:rFonts w:ascii="Times New Roman" w:hAnsi="Times New Roman" w:cs="Times New Roman"/>
                <w:lang w:val="ro-RO"/>
              </w:rPr>
              <w:t>{0256;0010}</w:t>
            </w:r>
          </w:p>
        </w:tc>
        <w:tc>
          <w:tcPr>
            <w:tcW w:w="7371" w:type="dxa"/>
          </w:tcPr>
          <w:p w14:paraId="57ABA6E6" w14:textId="3D3074AE" w:rsidR="00D05DB8" w:rsidRPr="000F57AA" w:rsidRDefault="00D05DB8" w:rsidP="00D05DB8">
            <w:pPr>
              <w:ind w:right="90" w:firstLine="465"/>
              <w:rPr>
                <w:rFonts w:ascii="Times New Roman" w:hAnsi="Times New Roman" w:cs="Times New Roman"/>
                <w:lang w:val="ro-RO"/>
              </w:rPr>
            </w:pPr>
            <w:r w:rsidRPr="000F57AA">
              <w:rPr>
                <w:rFonts w:ascii="Times New Roman" w:hAnsi="Times New Roman" w:cs="Times New Roman"/>
                <w:b/>
                <w:bCs/>
                <w:lang w:val="ro-RO"/>
              </w:rPr>
              <w:t>(–) Servicii auxiliare de tip bancar ale CSD/</w:t>
            </w:r>
            <w:r w:rsidR="006A6A8D" w:rsidRPr="000F57AA">
              <w:rPr>
                <w:rFonts w:ascii="Times New Roman" w:hAnsi="Times New Roman" w:cs="Times New Roman"/>
                <w:b/>
                <w:bCs/>
                <w:lang w:val="ro-RO"/>
              </w:rPr>
              <w:t>băncilor</w:t>
            </w:r>
            <w:r w:rsidRPr="000F57AA">
              <w:rPr>
                <w:rFonts w:ascii="Times New Roman" w:hAnsi="Times New Roman" w:cs="Times New Roman"/>
                <w:b/>
                <w:bCs/>
                <w:lang w:val="ro-RO"/>
              </w:rPr>
              <w:t xml:space="preserve">, excluse </w:t>
            </w:r>
          </w:p>
        </w:tc>
        <w:tc>
          <w:tcPr>
            <w:tcW w:w="1417" w:type="dxa"/>
          </w:tcPr>
          <w:p w14:paraId="62674E30" w14:textId="5290DDEA" w:rsidR="00D05DB8" w:rsidRPr="000F57AA" w:rsidRDefault="00D05DB8" w:rsidP="00D05DB8">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D05DB8" w:rsidRPr="000F57AA" w14:paraId="34825199" w14:textId="77777777" w:rsidTr="00652989">
        <w:trPr>
          <w:trHeight w:val="190"/>
        </w:trPr>
        <w:tc>
          <w:tcPr>
            <w:tcW w:w="988" w:type="dxa"/>
          </w:tcPr>
          <w:p w14:paraId="41FD2C67" w14:textId="56BA38C2" w:rsidR="00D05DB8" w:rsidRPr="000F57AA" w:rsidRDefault="00D05DB8" w:rsidP="00D05DB8">
            <w:pPr>
              <w:rPr>
                <w:rFonts w:ascii="Times New Roman" w:eastAsia="Times New Roman" w:hAnsi="Times New Roman" w:cs="Times New Roman"/>
                <w:lang w:val="ro-RO"/>
              </w:rPr>
            </w:pPr>
            <w:r w:rsidRPr="000F57AA">
              <w:rPr>
                <w:rFonts w:ascii="Times New Roman" w:hAnsi="Times New Roman" w:cs="Times New Roman"/>
                <w:lang w:val="ro-RO"/>
              </w:rPr>
              <w:t>{0257;0010}</w:t>
            </w:r>
          </w:p>
        </w:tc>
        <w:tc>
          <w:tcPr>
            <w:tcW w:w="7371" w:type="dxa"/>
          </w:tcPr>
          <w:p w14:paraId="21C87554" w14:textId="013B810F" w:rsidR="00D05DB8" w:rsidRPr="000F57AA" w:rsidRDefault="00D05DB8" w:rsidP="00D05DB8">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Servicii auxiliare de tip bancar ale </w:t>
            </w:r>
            <w:r w:rsidR="006A6A8D" w:rsidRPr="000F57AA">
              <w:rPr>
                <w:rFonts w:ascii="Times New Roman" w:hAnsi="Times New Roman" w:cs="Times New Roman"/>
                <w:b/>
                <w:bCs/>
                <w:lang w:val="ro-RO"/>
              </w:rPr>
              <w:t xml:space="preserve">băncilor </w:t>
            </w:r>
            <w:r w:rsidRPr="000F57AA">
              <w:rPr>
                <w:rFonts w:ascii="Times New Roman" w:hAnsi="Times New Roman" w:cs="Times New Roman"/>
                <w:b/>
                <w:bCs/>
                <w:lang w:val="ro-RO"/>
              </w:rPr>
              <w:t xml:space="preserve">desemnate, excluse </w:t>
            </w:r>
          </w:p>
        </w:tc>
        <w:tc>
          <w:tcPr>
            <w:tcW w:w="1417" w:type="dxa"/>
          </w:tcPr>
          <w:p w14:paraId="289D458F" w14:textId="285012A8" w:rsidR="00D05DB8" w:rsidRPr="000F57AA" w:rsidRDefault="00D05DB8" w:rsidP="00D05DB8">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6632A3" w:rsidRPr="00A05A6A" w14:paraId="7267E503" w14:textId="77777777" w:rsidTr="00652989">
        <w:trPr>
          <w:trHeight w:val="190"/>
        </w:trPr>
        <w:tc>
          <w:tcPr>
            <w:tcW w:w="988" w:type="dxa"/>
          </w:tcPr>
          <w:p w14:paraId="7E8FEC27" w14:textId="125ECE19" w:rsidR="006632A3" w:rsidRPr="000F57AA" w:rsidRDefault="006632A3" w:rsidP="006632A3">
            <w:pPr>
              <w:rPr>
                <w:rFonts w:ascii="Times New Roman" w:eastAsia="Times New Roman" w:hAnsi="Times New Roman" w:cs="Times New Roman"/>
                <w:lang w:val="ro-RO"/>
              </w:rPr>
            </w:pPr>
            <w:r w:rsidRPr="000F57AA">
              <w:rPr>
                <w:rFonts w:ascii="Times New Roman" w:hAnsi="Times New Roman" w:cs="Times New Roman"/>
                <w:lang w:val="ro-RO"/>
              </w:rPr>
              <w:lastRenderedPageBreak/>
              <w:t>{0260;0010}</w:t>
            </w:r>
          </w:p>
        </w:tc>
        <w:tc>
          <w:tcPr>
            <w:tcW w:w="8788" w:type="dxa"/>
            <w:gridSpan w:val="2"/>
          </w:tcPr>
          <w:p w14:paraId="7D4B5618" w14:textId="2C7A47E6" w:rsidR="006632A3" w:rsidRPr="000F57AA" w:rsidRDefault="006632A3" w:rsidP="006632A3">
            <w:pPr>
              <w:ind w:right="90" w:firstLine="465"/>
              <w:rPr>
                <w:rFonts w:ascii="Times New Roman" w:hAnsi="Times New Roman" w:cs="Times New Roman"/>
                <w:lang w:val="ro-RO"/>
              </w:rPr>
            </w:pPr>
            <w:r w:rsidRPr="000F57AA">
              <w:rPr>
                <w:rFonts w:ascii="Times New Roman" w:hAnsi="Times New Roman" w:cs="Times New Roman"/>
                <w:b/>
                <w:bCs/>
                <w:lang w:val="ro-RO"/>
              </w:rPr>
              <w:t>(–) Expuneri excluse în conformitate cu subpct.19.</w:t>
            </w:r>
            <w:r w:rsidR="00017352" w:rsidRPr="000F57AA">
              <w:rPr>
                <w:rFonts w:ascii="Times New Roman" w:hAnsi="Times New Roman" w:cs="Times New Roman"/>
                <w:b/>
                <w:bCs/>
                <w:lang w:val="ro-RO"/>
              </w:rPr>
              <w:t>7</w:t>
            </w:r>
            <w:r w:rsidRPr="000F57AA">
              <w:rPr>
                <w:rFonts w:ascii="Times New Roman" w:hAnsi="Times New Roman" w:cs="Times New Roman"/>
                <w:b/>
                <w:bCs/>
                <w:lang w:val="ro-RO"/>
              </w:rPr>
              <w:t xml:space="preserve"> din Regulamentul nr.XX/2025</w:t>
            </w:r>
          </w:p>
          <w:p w14:paraId="113487D1" w14:textId="6A251F50" w:rsidR="0045332B" w:rsidRPr="000F57AA" w:rsidRDefault="006632A3" w:rsidP="006632A3">
            <w:pPr>
              <w:ind w:right="90" w:firstLine="465"/>
              <w:rPr>
                <w:rFonts w:ascii="Times New Roman" w:hAnsi="Times New Roman" w:cs="Times New Roman"/>
                <w:lang w:val="ro-RO"/>
              </w:rPr>
            </w:pPr>
            <w:r w:rsidRPr="000F57AA">
              <w:rPr>
                <w:rFonts w:ascii="Times New Roman" w:hAnsi="Times New Roman" w:cs="Times New Roman"/>
                <w:lang w:val="ro-RO"/>
              </w:rPr>
              <w:t>Subpct.19.</w:t>
            </w:r>
            <w:r w:rsidR="004D7D82" w:rsidRPr="000F57AA">
              <w:rPr>
                <w:rFonts w:ascii="Times New Roman" w:hAnsi="Times New Roman" w:cs="Times New Roman"/>
                <w:lang w:val="ro-RO"/>
              </w:rPr>
              <w:t>7</w:t>
            </w:r>
            <w:r w:rsidRPr="000F57AA">
              <w:rPr>
                <w:rFonts w:ascii="Times New Roman" w:hAnsi="Times New Roman" w:cs="Times New Roman"/>
                <w:lang w:val="ro-RO"/>
              </w:rPr>
              <w:t xml:space="preserve"> din Regulamentul nr.XX/2025 </w:t>
            </w:r>
          </w:p>
          <w:p w14:paraId="4E32D0DA" w14:textId="711E90F0" w:rsidR="006632A3" w:rsidRPr="000F57AA" w:rsidRDefault="006632A3" w:rsidP="006632A3">
            <w:pPr>
              <w:ind w:right="90" w:firstLine="465"/>
              <w:rPr>
                <w:rFonts w:ascii="Times New Roman" w:hAnsi="Times New Roman" w:cs="Times New Roman"/>
                <w:lang w:val="ro-RO"/>
              </w:rPr>
            </w:pPr>
            <w:r w:rsidRPr="000F57AA">
              <w:rPr>
                <w:rFonts w:ascii="Times New Roman" w:hAnsi="Times New Roman" w:cs="Times New Roman"/>
                <w:lang w:val="ro-RO"/>
              </w:rPr>
              <w:t>Expunerile excluse în conformitate cu subpct.19.</w:t>
            </w:r>
            <w:r w:rsidR="004D7D82" w:rsidRPr="000F57AA">
              <w:rPr>
                <w:rFonts w:ascii="Times New Roman" w:hAnsi="Times New Roman" w:cs="Times New Roman"/>
                <w:lang w:val="ro-RO"/>
              </w:rPr>
              <w:t>7</w:t>
            </w:r>
            <w:r w:rsidRPr="000F57AA">
              <w:rPr>
                <w:rFonts w:ascii="Times New Roman" w:hAnsi="Times New Roman" w:cs="Times New Roman"/>
                <w:lang w:val="ro-RO"/>
              </w:rPr>
              <w:t xml:space="preserve"> din Regulamentul nr.XX/2025, dacă sunt îndeplinite condiţiile prevăzute la </w:t>
            </w:r>
            <w:r w:rsidR="00C85A76" w:rsidRPr="000F57AA">
              <w:rPr>
                <w:rFonts w:ascii="Times New Roman" w:hAnsi="Times New Roman" w:cs="Times New Roman"/>
                <w:lang w:val="ro-RO"/>
              </w:rPr>
              <w:t>secțiunea 3, capitolul II din Regulamentul nr.XX/2025</w:t>
            </w:r>
            <w:r w:rsidRPr="000F57AA">
              <w:rPr>
                <w:rFonts w:ascii="Times New Roman" w:hAnsi="Times New Roman" w:cs="Times New Roman"/>
                <w:lang w:val="ro-RO"/>
              </w:rPr>
              <w:t xml:space="preserve">. </w:t>
            </w:r>
          </w:p>
          <w:p w14:paraId="72639C16" w14:textId="0E831809" w:rsidR="006632A3" w:rsidRPr="000F57AA" w:rsidRDefault="006632A3" w:rsidP="006632A3">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raportat se include și în celulele aplicabile de mai sus, ca și cum nu s-ar fi aplicat nicio excludere.</w:t>
            </w:r>
          </w:p>
        </w:tc>
      </w:tr>
      <w:tr w:rsidR="007342C4" w:rsidRPr="000F57AA" w14:paraId="78E8B942" w14:textId="77777777" w:rsidTr="00652989">
        <w:trPr>
          <w:trHeight w:val="190"/>
        </w:trPr>
        <w:tc>
          <w:tcPr>
            <w:tcW w:w="988" w:type="dxa"/>
          </w:tcPr>
          <w:p w14:paraId="165E8845" w14:textId="7EE4CE0A" w:rsidR="007342C4" w:rsidRPr="000F57AA" w:rsidRDefault="007342C4" w:rsidP="007342C4">
            <w:pPr>
              <w:rPr>
                <w:rFonts w:ascii="Times New Roman" w:hAnsi="Times New Roman" w:cs="Times New Roman"/>
                <w:lang w:val="ro-RO"/>
              </w:rPr>
            </w:pPr>
            <w:r w:rsidRPr="000F57AA">
              <w:rPr>
                <w:rFonts w:ascii="Times New Roman" w:hAnsi="Times New Roman" w:cs="Times New Roman"/>
                <w:lang w:val="ro-RO"/>
              </w:rPr>
              <w:t>{0261;0010}</w:t>
            </w:r>
          </w:p>
        </w:tc>
        <w:tc>
          <w:tcPr>
            <w:tcW w:w="7371" w:type="dxa"/>
          </w:tcPr>
          <w:p w14:paraId="439E73BE" w14:textId="14BBF22C" w:rsidR="007342C4" w:rsidRPr="000F57AA" w:rsidRDefault="007342C4" w:rsidP="00D27BBD">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Expuneri excluse ale </w:t>
            </w:r>
            <w:r w:rsidR="00C85A76" w:rsidRPr="000F57AA">
              <w:rPr>
                <w:rFonts w:ascii="Times New Roman" w:hAnsi="Times New Roman" w:cs="Times New Roman"/>
                <w:b/>
                <w:bCs/>
                <w:lang w:val="ro-RO"/>
              </w:rPr>
              <w:t>băncilor</w:t>
            </w:r>
            <w:r w:rsidR="00C85A76" w:rsidRPr="000F57AA" w:rsidDel="00C85A76">
              <w:rPr>
                <w:rFonts w:ascii="Times New Roman" w:hAnsi="Times New Roman" w:cs="Times New Roman"/>
                <w:b/>
                <w:bCs/>
                <w:lang w:val="ro-RO"/>
              </w:rPr>
              <w:t xml:space="preserve"> </w:t>
            </w:r>
            <w:r w:rsidRPr="000F57AA">
              <w:rPr>
                <w:rFonts w:ascii="Times New Roman" w:hAnsi="Times New Roman" w:cs="Times New Roman"/>
                <w:b/>
                <w:bCs/>
                <w:lang w:val="ro-RO"/>
              </w:rPr>
              <w:t xml:space="preserve">pentru dezvoltare publică – investiţii în sectorul public </w:t>
            </w:r>
          </w:p>
        </w:tc>
        <w:tc>
          <w:tcPr>
            <w:tcW w:w="1417" w:type="dxa"/>
          </w:tcPr>
          <w:p w14:paraId="30CB0E1A" w14:textId="7242345D" w:rsidR="007342C4" w:rsidRPr="000F57AA" w:rsidRDefault="007342C4" w:rsidP="007342C4">
            <w:pPr>
              <w:ind w:right="90"/>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67F17B10" w14:textId="77777777" w:rsidTr="00652989">
        <w:trPr>
          <w:trHeight w:val="190"/>
        </w:trPr>
        <w:tc>
          <w:tcPr>
            <w:tcW w:w="988" w:type="dxa"/>
          </w:tcPr>
          <w:p w14:paraId="2C4A9467" w14:textId="4B64B942"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{0262;0010}</w:t>
            </w:r>
          </w:p>
        </w:tc>
        <w:tc>
          <w:tcPr>
            <w:tcW w:w="7371" w:type="dxa"/>
          </w:tcPr>
          <w:p w14:paraId="30800164" w14:textId="04575842"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ale </w:t>
            </w:r>
            <w:r w:rsidR="00C85A76" w:rsidRPr="000F57AA">
              <w:rPr>
                <w:rFonts w:ascii="Times New Roman" w:hAnsi="Times New Roman" w:cs="Times New Roman"/>
                <w:b/>
                <w:bCs/>
                <w:lang w:val="ro-RO"/>
              </w:rPr>
              <w:t>băncilor</w:t>
            </w:r>
            <w:r w:rsidR="00C85A76" w:rsidRPr="000F57AA" w:rsidDel="00C85A76">
              <w:rPr>
                <w:rFonts w:ascii="Times New Roman" w:hAnsi="Times New Roman" w:cs="Times New Roman"/>
                <w:b/>
                <w:bCs/>
                <w:lang w:val="ro-RO"/>
              </w:rPr>
              <w:t xml:space="preserve"> </w:t>
            </w:r>
            <w:r w:rsidRPr="000F57AA">
              <w:rPr>
                <w:rFonts w:ascii="Times New Roman" w:hAnsi="Times New Roman" w:cs="Times New Roman"/>
                <w:b/>
                <w:bCs/>
                <w:lang w:val="ro-RO"/>
              </w:rPr>
              <w:t xml:space="preserve">pentru dezvoltare publică - Credite promoţionale acordate de o </w:t>
            </w:r>
            <w:r w:rsidR="00C85A76" w:rsidRPr="000F57AA">
              <w:rPr>
                <w:rFonts w:ascii="Times New Roman" w:hAnsi="Times New Roman" w:cs="Times New Roman"/>
                <w:b/>
                <w:bCs/>
                <w:lang w:val="ro-RO"/>
              </w:rPr>
              <w:t>bancă</w:t>
            </w:r>
            <w:r w:rsidRPr="000F57AA">
              <w:rPr>
                <w:rFonts w:ascii="Times New Roman" w:hAnsi="Times New Roman" w:cs="Times New Roman"/>
                <w:b/>
                <w:bCs/>
                <w:lang w:val="ro-RO"/>
              </w:rPr>
              <w:t xml:space="preserve"> pentru dezvoltare publică </w:t>
            </w:r>
          </w:p>
        </w:tc>
        <w:tc>
          <w:tcPr>
            <w:tcW w:w="1417" w:type="dxa"/>
          </w:tcPr>
          <w:p w14:paraId="442C0610" w14:textId="59BA1740" w:rsidR="007342C4" w:rsidRPr="000F57AA" w:rsidRDefault="007342C4" w:rsidP="007342C4">
            <w:pPr>
              <w:ind w:right="90"/>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6B419FC0" w14:textId="77777777" w:rsidTr="00652989">
        <w:trPr>
          <w:trHeight w:val="190"/>
        </w:trPr>
        <w:tc>
          <w:tcPr>
            <w:tcW w:w="988" w:type="dxa"/>
          </w:tcPr>
          <w:p w14:paraId="7588C4F8" w14:textId="155A7F37"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{0263;0010}</w:t>
            </w:r>
          </w:p>
        </w:tc>
        <w:tc>
          <w:tcPr>
            <w:tcW w:w="7371" w:type="dxa"/>
          </w:tcPr>
          <w:p w14:paraId="3196D753" w14:textId="38C688A5"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ale </w:t>
            </w:r>
            <w:r w:rsidR="00C85A76" w:rsidRPr="000F57AA">
              <w:rPr>
                <w:rFonts w:ascii="Times New Roman" w:hAnsi="Times New Roman" w:cs="Times New Roman"/>
                <w:b/>
                <w:bCs/>
                <w:lang w:val="ro-RO"/>
              </w:rPr>
              <w:t>băncilor</w:t>
            </w:r>
            <w:r w:rsidR="00C85A76" w:rsidRPr="000F57AA" w:rsidDel="00C85A76">
              <w:rPr>
                <w:rFonts w:ascii="Times New Roman" w:hAnsi="Times New Roman" w:cs="Times New Roman"/>
                <w:b/>
                <w:bCs/>
                <w:lang w:val="ro-RO"/>
              </w:rPr>
              <w:t xml:space="preserve"> </w:t>
            </w:r>
            <w:r w:rsidRPr="000F57AA">
              <w:rPr>
                <w:rFonts w:ascii="Times New Roman" w:hAnsi="Times New Roman" w:cs="Times New Roman"/>
                <w:b/>
                <w:bCs/>
                <w:lang w:val="ro-RO"/>
              </w:rPr>
              <w:t xml:space="preserve">pentru dezvoltare publică - Credite promoţionale acordate de o entitate creată direct de administraţia centrală, de administraţiile regionale sau de autorităţile locale ale unui stat membru </w:t>
            </w:r>
          </w:p>
        </w:tc>
        <w:tc>
          <w:tcPr>
            <w:tcW w:w="1417" w:type="dxa"/>
          </w:tcPr>
          <w:p w14:paraId="1AF95BC0" w14:textId="5A0D1CD6" w:rsidR="007342C4" w:rsidRPr="000F57AA" w:rsidRDefault="007342C4" w:rsidP="007342C4">
            <w:pPr>
              <w:ind w:right="90"/>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77D88544" w14:textId="77777777" w:rsidTr="00652989">
        <w:trPr>
          <w:trHeight w:val="190"/>
        </w:trPr>
        <w:tc>
          <w:tcPr>
            <w:tcW w:w="988" w:type="dxa"/>
          </w:tcPr>
          <w:p w14:paraId="4858C89E" w14:textId="4BA05BD1"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{0264;0010}</w:t>
            </w:r>
          </w:p>
        </w:tc>
        <w:tc>
          <w:tcPr>
            <w:tcW w:w="7371" w:type="dxa"/>
          </w:tcPr>
          <w:p w14:paraId="355EE9A4" w14:textId="38D62670"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ale </w:t>
            </w:r>
            <w:r w:rsidR="00C85A76" w:rsidRPr="000F57AA">
              <w:rPr>
                <w:rFonts w:ascii="Times New Roman" w:hAnsi="Times New Roman" w:cs="Times New Roman"/>
                <w:b/>
                <w:bCs/>
                <w:lang w:val="ro-RO"/>
              </w:rPr>
              <w:t>băncilor</w:t>
            </w:r>
            <w:r w:rsidR="00C85A76" w:rsidRPr="000F57AA" w:rsidDel="00C85A76">
              <w:rPr>
                <w:rFonts w:ascii="Times New Roman" w:hAnsi="Times New Roman" w:cs="Times New Roman"/>
                <w:b/>
                <w:bCs/>
                <w:lang w:val="ro-RO"/>
              </w:rPr>
              <w:t xml:space="preserve"> </w:t>
            </w:r>
            <w:r w:rsidRPr="000F57AA">
              <w:rPr>
                <w:rFonts w:ascii="Times New Roman" w:hAnsi="Times New Roman" w:cs="Times New Roman"/>
                <w:b/>
                <w:bCs/>
                <w:lang w:val="ro-RO"/>
              </w:rPr>
              <w:t xml:space="preserve">pentru dezvoltare publică - Credite promoţionale acordate de o entitate creată de administraţia centrală, de administraţiile regionale sau de autorităţile locale ale unui stat membru printr-o </w:t>
            </w:r>
            <w:r w:rsidR="00DC4B73" w:rsidRPr="000F57AA">
              <w:rPr>
                <w:rFonts w:ascii="Times New Roman" w:hAnsi="Times New Roman" w:cs="Times New Roman"/>
                <w:b/>
                <w:bCs/>
                <w:lang w:val="ro-RO"/>
              </w:rPr>
              <w:t>bancă</w:t>
            </w:r>
            <w:r w:rsidRPr="000F57AA">
              <w:rPr>
                <w:rFonts w:ascii="Times New Roman" w:hAnsi="Times New Roman" w:cs="Times New Roman"/>
                <w:b/>
                <w:bCs/>
                <w:lang w:val="ro-RO"/>
              </w:rPr>
              <w:t xml:space="preserve"> intermediară </w:t>
            </w:r>
          </w:p>
        </w:tc>
        <w:tc>
          <w:tcPr>
            <w:tcW w:w="1417" w:type="dxa"/>
          </w:tcPr>
          <w:p w14:paraId="111543D9" w14:textId="04564006" w:rsidR="007342C4" w:rsidRPr="000F57AA" w:rsidRDefault="007342C4" w:rsidP="007342C4">
            <w:pPr>
              <w:ind w:right="90"/>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75922578" w14:textId="77777777" w:rsidTr="00652989">
        <w:trPr>
          <w:trHeight w:val="190"/>
        </w:trPr>
        <w:tc>
          <w:tcPr>
            <w:tcW w:w="988" w:type="dxa"/>
          </w:tcPr>
          <w:p w14:paraId="681B7724" w14:textId="015DF0CE"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{0265;0010}</w:t>
            </w:r>
          </w:p>
        </w:tc>
        <w:tc>
          <w:tcPr>
            <w:tcW w:w="7371" w:type="dxa"/>
          </w:tcPr>
          <w:p w14:paraId="67786F5B" w14:textId="0C2F23D5"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care decurg din creditele promoţionale de tipul „pass through” acordate de </w:t>
            </w:r>
            <w:r w:rsidR="00DC4B73" w:rsidRPr="000F57AA">
              <w:rPr>
                <w:rFonts w:ascii="Times New Roman" w:hAnsi="Times New Roman" w:cs="Times New Roman"/>
                <w:b/>
                <w:bCs/>
                <w:lang w:val="ro-RO"/>
              </w:rPr>
              <w:t xml:space="preserve">bănci </w:t>
            </w:r>
            <w:r w:rsidRPr="000F57AA">
              <w:rPr>
                <w:rFonts w:ascii="Times New Roman" w:hAnsi="Times New Roman" w:cs="Times New Roman"/>
                <w:b/>
                <w:bCs/>
                <w:lang w:val="ro-RO"/>
              </w:rPr>
              <w:t xml:space="preserve">(sau unităţi) care nu sunt </w:t>
            </w:r>
            <w:r w:rsidR="00DC4B73" w:rsidRPr="000F57AA">
              <w:rPr>
                <w:rFonts w:ascii="Times New Roman" w:hAnsi="Times New Roman" w:cs="Times New Roman"/>
                <w:b/>
                <w:bCs/>
                <w:lang w:val="ro-RO"/>
              </w:rPr>
              <w:t>bănci</w:t>
            </w:r>
            <w:r w:rsidRPr="000F57AA">
              <w:rPr>
                <w:rFonts w:ascii="Times New Roman" w:hAnsi="Times New Roman" w:cs="Times New Roman"/>
                <w:b/>
                <w:bCs/>
                <w:lang w:val="ro-RO"/>
              </w:rPr>
              <w:t xml:space="preserve"> pentru dezvoltare publică - Credite promoţionale acordate de o </w:t>
            </w:r>
            <w:r w:rsidR="00DC4B73" w:rsidRPr="000F57AA">
              <w:rPr>
                <w:rFonts w:ascii="Times New Roman" w:hAnsi="Times New Roman" w:cs="Times New Roman"/>
                <w:b/>
                <w:bCs/>
                <w:lang w:val="ro-RO"/>
              </w:rPr>
              <w:t>bancă</w:t>
            </w:r>
            <w:r w:rsidRPr="000F57AA">
              <w:rPr>
                <w:rFonts w:ascii="Times New Roman" w:hAnsi="Times New Roman" w:cs="Times New Roman"/>
                <w:b/>
                <w:bCs/>
                <w:lang w:val="ro-RO"/>
              </w:rPr>
              <w:t xml:space="preserve"> pentru dezvoltare publică </w:t>
            </w:r>
          </w:p>
        </w:tc>
        <w:tc>
          <w:tcPr>
            <w:tcW w:w="1417" w:type="dxa"/>
          </w:tcPr>
          <w:p w14:paraId="00B68828" w14:textId="390CF611" w:rsidR="007342C4" w:rsidRPr="000F57AA" w:rsidRDefault="007342C4" w:rsidP="007342C4">
            <w:pPr>
              <w:ind w:right="90"/>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6901E3CD" w14:textId="77777777" w:rsidTr="00652989">
        <w:trPr>
          <w:trHeight w:val="190"/>
        </w:trPr>
        <w:tc>
          <w:tcPr>
            <w:tcW w:w="988" w:type="dxa"/>
          </w:tcPr>
          <w:p w14:paraId="744879F4" w14:textId="7C76BF19"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{0266;0010}</w:t>
            </w:r>
          </w:p>
        </w:tc>
        <w:tc>
          <w:tcPr>
            <w:tcW w:w="7371" w:type="dxa"/>
          </w:tcPr>
          <w:p w14:paraId="00259444" w14:textId="6F6B217D"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care decurg din creditele promoţionale de tipul „pass through” acordate de </w:t>
            </w:r>
            <w:r w:rsidR="00DC4B73" w:rsidRPr="000F57AA">
              <w:rPr>
                <w:rFonts w:ascii="Times New Roman" w:hAnsi="Times New Roman" w:cs="Times New Roman"/>
                <w:b/>
                <w:bCs/>
                <w:lang w:val="ro-RO"/>
              </w:rPr>
              <w:t xml:space="preserve">bănci </w:t>
            </w:r>
            <w:r w:rsidRPr="000F57AA">
              <w:rPr>
                <w:rFonts w:ascii="Times New Roman" w:hAnsi="Times New Roman" w:cs="Times New Roman"/>
                <w:b/>
                <w:bCs/>
                <w:lang w:val="ro-RO"/>
              </w:rPr>
              <w:t xml:space="preserve">(sau unităţi) care nu sunt </w:t>
            </w:r>
            <w:r w:rsidR="00DC4B73" w:rsidRPr="000F57AA">
              <w:rPr>
                <w:rFonts w:ascii="Times New Roman" w:hAnsi="Times New Roman" w:cs="Times New Roman"/>
                <w:b/>
                <w:bCs/>
                <w:lang w:val="ro-RO"/>
              </w:rPr>
              <w:t>bănci</w:t>
            </w:r>
            <w:r w:rsidRPr="000F57AA">
              <w:rPr>
                <w:rFonts w:ascii="Times New Roman" w:hAnsi="Times New Roman" w:cs="Times New Roman"/>
                <w:b/>
                <w:bCs/>
                <w:lang w:val="ro-RO"/>
              </w:rPr>
              <w:t xml:space="preserve"> pentru dezvoltare publică - Credite promoţionale acordate de o entitate creată direct de administraţia centrală, de administraţiile regionale sau de autorităţile locale ale unui stat membru </w:t>
            </w:r>
          </w:p>
        </w:tc>
        <w:tc>
          <w:tcPr>
            <w:tcW w:w="1417" w:type="dxa"/>
          </w:tcPr>
          <w:p w14:paraId="1B7B6C99" w14:textId="17E33E03" w:rsidR="007342C4" w:rsidRPr="000F57AA" w:rsidRDefault="007342C4" w:rsidP="007342C4">
            <w:pPr>
              <w:ind w:right="90"/>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35107719" w14:textId="77777777" w:rsidTr="00652989">
        <w:trPr>
          <w:trHeight w:val="190"/>
        </w:trPr>
        <w:tc>
          <w:tcPr>
            <w:tcW w:w="988" w:type="dxa"/>
          </w:tcPr>
          <w:p w14:paraId="65F96003" w14:textId="1E9FF2D3"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{0267;0010}</w:t>
            </w:r>
          </w:p>
        </w:tc>
        <w:tc>
          <w:tcPr>
            <w:tcW w:w="7371" w:type="dxa"/>
          </w:tcPr>
          <w:p w14:paraId="367BC3C8" w14:textId="450CEBC5"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 Expuneri excluse care decurg din creditele promoţionale de tipul „pass through” acordate de </w:t>
            </w:r>
            <w:r w:rsidR="00656776" w:rsidRPr="000F57AA">
              <w:rPr>
                <w:rFonts w:ascii="Times New Roman" w:hAnsi="Times New Roman" w:cs="Times New Roman"/>
                <w:b/>
                <w:bCs/>
                <w:lang w:val="ro-RO"/>
              </w:rPr>
              <w:t xml:space="preserve">bănci </w:t>
            </w:r>
            <w:r w:rsidRPr="000F57AA">
              <w:rPr>
                <w:rFonts w:ascii="Times New Roman" w:hAnsi="Times New Roman" w:cs="Times New Roman"/>
                <w:b/>
                <w:bCs/>
                <w:lang w:val="ro-RO"/>
              </w:rPr>
              <w:t xml:space="preserve">(sau unităţi) care nu sunt </w:t>
            </w:r>
            <w:r w:rsidR="00DC4B73" w:rsidRPr="000F57AA">
              <w:rPr>
                <w:rFonts w:ascii="Times New Roman" w:hAnsi="Times New Roman" w:cs="Times New Roman"/>
                <w:b/>
                <w:bCs/>
                <w:lang w:val="ro-RO"/>
              </w:rPr>
              <w:t>bănci</w:t>
            </w:r>
            <w:r w:rsidRPr="000F57AA">
              <w:rPr>
                <w:rFonts w:ascii="Times New Roman" w:hAnsi="Times New Roman" w:cs="Times New Roman"/>
                <w:b/>
                <w:bCs/>
                <w:lang w:val="ro-RO"/>
              </w:rPr>
              <w:t xml:space="preserve"> pentru dezvoltare publică - Credite promoţionale acordate de o entitate creată de administraţia centrală, de administraţiile regionale sau de autorităţile locale ale unui stat membru printr-o</w:t>
            </w:r>
            <w:r w:rsidR="00656776" w:rsidRPr="000F57AA">
              <w:rPr>
                <w:rFonts w:ascii="Times New Roman" w:hAnsi="Times New Roman" w:cs="Times New Roman"/>
                <w:b/>
                <w:bCs/>
                <w:lang w:val="ro-RO"/>
              </w:rPr>
              <w:t xml:space="preserve"> bancă</w:t>
            </w:r>
            <w:r w:rsidRPr="000F57AA">
              <w:rPr>
                <w:rFonts w:ascii="Times New Roman" w:hAnsi="Times New Roman" w:cs="Times New Roman"/>
                <w:b/>
                <w:bCs/>
                <w:lang w:val="ro-RO"/>
              </w:rPr>
              <w:t xml:space="preserve"> intermediară </w:t>
            </w:r>
          </w:p>
        </w:tc>
        <w:tc>
          <w:tcPr>
            <w:tcW w:w="1417" w:type="dxa"/>
          </w:tcPr>
          <w:p w14:paraId="2AE52D88" w14:textId="43DE48AF" w:rsidR="007342C4" w:rsidRPr="000F57AA" w:rsidRDefault="007342C4" w:rsidP="007342C4">
            <w:pPr>
              <w:ind w:right="90"/>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A05A6A" w14:paraId="52C249EA" w14:textId="77777777" w:rsidTr="00652989">
        <w:trPr>
          <w:trHeight w:val="190"/>
        </w:trPr>
        <w:tc>
          <w:tcPr>
            <w:tcW w:w="988" w:type="dxa"/>
          </w:tcPr>
          <w:p w14:paraId="07985EAF" w14:textId="76F02F51"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{0270;0010}</w:t>
            </w:r>
          </w:p>
        </w:tc>
        <w:tc>
          <w:tcPr>
            <w:tcW w:w="8788" w:type="dxa"/>
            <w:gridSpan w:val="2"/>
          </w:tcPr>
          <w:p w14:paraId="759DE633"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 Cuantumul activelor scăzut – din fondurile proprii de nivel 1 – conform definiţiei introduse integral </w:t>
            </w:r>
          </w:p>
          <w:p w14:paraId="6CA0EE43"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Subpct.19.1 din Regulamentul nr.XX/2025 </w:t>
            </w:r>
          </w:p>
          <w:p w14:paraId="459527F1" w14:textId="2AA73B76"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Cuprinde toate ajustările care vizează valoarea unui activ și care sunt prevăzute la: </w:t>
            </w:r>
          </w:p>
          <w:p w14:paraId="062A144F"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 pct.26-29 din Regulamentul nr.109/2018 sau </w:t>
            </w:r>
          </w:p>
          <w:p w14:paraId="1759C051"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 la pct.30-62 din Regulamentul nr.109/2018 sau </w:t>
            </w:r>
          </w:p>
          <w:p w14:paraId="69339DF1"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 la pct.87-95 din Regulamentul nr.109/2018, după caz. Băncile ţin seama de exceptările, alternativele și derogările de la astfel de deduceri prevăzute la pct.63-67, și 126 din Regulamentul nr.109/2018. Pentru a evita dubla contabilizare, băncile nu raportează ajustările deja aplicate în temeiul pct.5-10 din Regulamentul nr.111/2018 atunci când calculează valoarea expunerii în {0010;0010}-{0267;0010} și nici ajustările care nu se scad din valoarea unui anumit activ. </w:t>
            </w:r>
          </w:p>
          <w:p w14:paraId="7B75015D" w14:textId="7C3F216E"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Întrucât sunt deja deduse din indicatorul de măsurare a capitalului, aceste cuantumuri reduc expunerea pentru calcularea indicatorului efectului de levier și se raportează ca valoare negativă.</w:t>
            </w:r>
          </w:p>
        </w:tc>
      </w:tr>
      <w:tr w:rsidR="007342C4" w:rsidRPr="000F57AA" w14:paraId="0194B0E7" w14:textId="77777777" w:rsidTr="00652989">
        <w:trPr>
          <w:trHeight w:val="190"/>
        </w:trPr>
        <w:tc>
          <w:tcPr>
            <w:tcW w:w="988" w:type="dxa"/>
          </w:tcPr>
          <w:p w14:paraId="4F2FB2F4" w14:textId="04B60047"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{0280;0010}</w:t>
            </w:r>
          </w:p>
        </w:tc>
        <w:tc>
          <w:tcPr>
            <w:tcW w:w="7371" w:type="dxa"/>
          </w:tcPr>
          <w:p w14:paraId="304E3F0B" w14:textId="3D930BF1" w:rsidR="007342C4" w:rsidRPr="000F57AA" w:rsidRDefault="007342C4" w:rsidP="000F57AA">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Cuantumul activelor scăzut (-) sau adăugat (+) – din/la fondurile proprii de nivel 1 – conform definiţiei tranzitorii </w:t>
            </w:r>
          </w:p>
        </w:tc>
        <w:tc>
          <w:tcPr>
            <w:tcW w:w="1417" w:type="dxa"/>
          </w:tcPr>
          <w:p w14:paraId="73F10D35" w14:textId="1CEF183A" w:rsidR="007342C4" w:rsidRPr="000F57AA" w:rsidRDefault="007342C4" w:rsidP="007342C4">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A05A6A" w14:paraId="33DA2B8C" w14:textId="77777777" w:rsidTr="00652989">
        <w:trPr>
          <w:trHeight w:val="190"/>
        </w:trPr>
        <w:tc>
          <w:tcPr>
            <w:tcW w:w="988" w:type="dxa"/>
          </w:tcPr>
          <w:p w14:paraId="1102348A" w14:textId="1B91069E"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{0290;0010}</w:t>
            </w:r>
          </w:p>
        </w:tc>
        <w:tc>
          <w:tcPr>
            <w:tcW w:w="8788" w:type="dxa"/>
            <w:gridSpan w:val="2"/>
          </w:tcPr>
          <w:p w14:paraId="25B78BE1"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Totalul indicatorului de măsurare a expunerii utilizat pentru calcularea indicatorului efectului de levier – utilizând o definiţie introdusă integral a fondurilor proprii de nivel 1 </w:t>
            </w:r>
          </w:p>
          <w:p w14:paraId="1CA65366" w14:textId="0D7DFE39"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raportează suma rândurilor 0010-0267 și a rândului 0270.</w:t>
            </w:r>
          </w:p>
        </w:tc>
      </w:tr>
      <w:tr w:rsidR="007342C4" w:rsidRPr="000F57AA" w14:paraId="41D91C60" w14:textId="77777777" w:rsidTr="00652989">
        <w:trPr>
          <w:trHeight w:val="190"/>
        </w:trPr>
        <w:tc>
          <w:tcPr>
            <w:tcW w:w="988" w:type="dxa"/>
          </w:tcPr>
          <w:p w14:paraId="0C71C5D1" w14:textId="40E01511"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{0300;0010}</w:t>
            </w:r>
          </w:p>
        </w:tc>
        <w:tc>
          <w:tcPr>
            <w:tcW w:w="7371" w:type="dxa"/>
          </w:tcPr>
          <w:p w14:paraId="2CA300DC" w14:textId="5B1ADC49"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Totalul indicatorului de măsurare a expunerii utilizat pentru calcularea indicatorului efectului de levier – utilizând o definiţie tranzitorie a fondurilor proprii de nivel 1</w:t>
            </w:r>
            <w:r w:rsidRPr="000F57AA">
              <w:rPr>
                <w:rFonts w:ascii="Times New Roman" w:hAnsi="Times New Roman" w:cs="Times New Roman"/>
                <w:lang w:val="ro-RO"/>
              </w:rPr>
              <w:t>.</w:t>
            </w:r>
          </w:p>
        </w:tc>
        <w:tc>
          <w:tcPr>
            <w:tcW w:w="1417" w:type="dxa"/>
          </w:tcPr>
          <w:p w14:paraId="03BE97FB" w14:textId="5A03D23D" w:rsidR="007342C4" w:rsidRPr="000F57AA" w:rsidRDefault="007342C4" w:rsidP="007342C4">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3DD2DE14" w14:textId="77777777" w:rsidTr="00652989">
        <w:trPr>
          <w:trHeight w:val="190"/>
        </w:trPr>
        <w:tc>
          <w:tcPr>
            <w:tcW w:w="988" w:type="dxa"/>
            <w:shd w:val="clear" w:color="auto" w:fill="E7E6E6" w:themeFill="background2"/>
          </w:tcPr>
          <w:p w14:paraId="1FD8AA8B" w14:textId="3E907027"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Rând și coloană</w:t>
            </w:r>
          </w:p>
        </w:tc>
        <w:tc>
          <w:tcPr>
            <w:tcW w:w="8788" w:type="dxa"/>
            <w:gridSpan w:val="2"/>
            <w:shd w:val="clear" w:color="auto" w:fill="E7E6E6" w:themeFill="background2"/>
          </w:tcPr>
          <w:p w14:paraId="56134F37" w14:textId="462B550B"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b/>
                <w:bCs/>
                <w:lang w:val="ro-RO"/>
              </w:rPr>
              <w:t>Fonduri proprii</w:t>
            </w:r>
          </w:p>
        </w:tc>
      </w:tr>
      <w:tr w:rsidR="007342C4" w:rsidRPr="00A05A6A" w14:paraId="00A52EB2" w14:textId="77777777" w:rsidTr="00652989">
        <w:trPr>
          <w:trHeight w:val="190"/>
        </w:trPr>
        <w:tc>
          <w:tcPr>
            <w:tcW w:w="988" w:type="dxa"/>
          </w:tcPr>
          <w:p w14:paraId="4E49E9BF" w14:textId="3408D528"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lastRenderedPageBreak/>
              <w:t>{0310;0010}</w:t>
            </w:r>
          </w:p>
        </w:tc>
        <w:tc>
          <w:tcPr>
            <w:tcW w:w="8788" w:type="dxa"/>
            <w:gridSpan w:val="2"/>
          </w:tcPr>
          <w:p w14:paraId="06175B80"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Fondurile proprii de nivel 1 – conform definiţiei introduse integral </w:t>
            </w:r>
          </w:p>
          <w:p w14:paraId="491DF805" w14:textId="460D4F5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Pct.8 din Regulamentul nr.XX/2025</w:t>
            </w:r>
          </w:p>
          <w:p w14:paraId="04991AC8" w14:textId="07A98C8F"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Cuantumul fondurilor proprii de nivel 1, calculat în conformitate cu pct.6 din Regulamentul nr.109/2018.</w:t>
            </w:r>
          </w:p>
        </w:tc>
      </w:tr>
      <w:tr w:rsidR="007342C4" w:rsidRPr="000F57AA" w14:paraId="03D8E454" w14:textId="77777777" w:rsidTr="00652989">
        <w:trPr>
          <w:trHeight w:val="190"/>
        </w:trPr>
        <w:tc>
          <w:tcPr>
            <w:tcW w:w="988" w:type="dxa"/>
          </w:tcPr>
          <w:p w14:paraId="1BD88537" w14:textId="5EDD7E9E"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{0320;0010}</w:t>
            </w:r>
          </w:p>
        </w:tc>
        <w:tc>
          <w:tcPr>
            <w:tcW w:w="7371" w:type="dxa"/>
          </w:tcPr>
          <w:p w14:paraId="1478E4EE"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Fondurile proprii de nivel 1 – conform definiţiei tranzitorii </w:t>
            </w:r>
          </w:p>
        </w:tc>
        <w:tc>
          <w:tcPr>
            <w:tcW w:w="1417" w:type="dxa"/>
          </w:tcPr>
          <w:p w14:paraId="5C7B5E2E" w14:textId="21AE182B" w:rsidR="007342C4" w:rsidRPr="000F57AA" w:rsidRDefault="007342C4" w:rsidP="007342C4">
            <w:pPr>
              <w:rPr>
                <w:rFonts w:ascii="Times New Roman" w:eastAsia="Times New Roman" w:hAnsi="Times New Roman" w:cs="Times New Roman"/>
                <w:lang w:val="ro-RO"/>
              </w:rPr>
            </w:pPr>
            <w:r w:rsidRPr="000F57AA">
              <w:rPr>
                <w:rFonts w:ascii="Times New Roman" w:eastAsia="Times New Roman" w:hAnsi="Times New Roman" w:cs="Times New Roman"/>
                <w:lang w:val="ro-RO"/>
              </w:rPr>
              <w:t>blocat</w:t>
            </w:r>
          </w:p>
        </w:tc>
      </w:tr>
      <w:tr w:rsidR="007342C4" w:rsidRPr="000F57AA" w14:paraId="2C2D0F68" w14:textId="77777777" w:rsidTr="00652989">
        <w:trPr>
          <w:trHeight w:val="190"/>
        </w:trPr>
        <w:tc>
          <w:tcPr>
            <w:tcW w:w="988" w:type="dxa"/>
            <w:shd w:val="clear" w:color="auto" w:fill="E7E6E6" w:themeFill="background2"/>
          </w:tcPr>
          <w:p w14:paraId="5FFBD1E4" w14:textId="7E535DAC"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Rând și coloană</w:t>
            </w:r>
          </w:p>
        </w:tc>
        <w:tc>
          <w:tcPr>
            <w:tcW w:w="8788" w:type="dxa"/>
            <w:gridSpan w:val="2"/>
            <w:shd w:val="clear" w:color="auto" w:fill="E7E6E6" w:themeFill="background2"/>
          </w:tcPr>
          <w:p w14:paraId="5AAFFA95" w14:textId="5F3D8D4A"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b/>
                <w:bCs/>
                <w:lang w:val="ro-RO"/>
              </w:rPr>
              <w:t>Indicatorul efectului de levier</w:t>
            </w:r>
          </w:p>
        </w:tc>
      </w:tr>
      <w:tr w:rsidR="007342C4" w:rsidRPr="00A05A6A" w14:paraId="4ADA70C3" w14:textId="77777777" w:rsidTr="00652989">
        <w:trPr>
          <w:trHeight w:val="190"/>
        </w:trPr>
        <w:tc>
          <w:tcPr>
            <w:tcW w:w="988" w:type="dxa"/>
          </w:tcPr>
          <w:p w14:paraId="51DDBD9A" w14:textId="576228D2"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{0330;0010}</w:t>
            </w:r>
          </w:p>
        </w:tc>
        <w:tc>
          <w:tcPr>
            <w:tcW w:w="8788" w:type="dxa"/>
            <w:gridSpan w:val="2"/>
          </w:tcPr>
          <w:p w14:paraId="7D6EED70"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Indicatorul efectului de levier – utilizând o definiţie introdusă integral a fondurilor proprii de nivel 1 </w:t>
            </w:r>
          </w:p>
          <w:p w14:paraId="68D901A4" w14:textId="77777777" w:rsidR="00E20608" w:rsidRPr="000F57AA" w:rsidRDefault="007342C4" w:rsidP="007342C4">
            <w:pPr>
              <w:ind w:firstLine="465"/>
              <w:rPr>
                <w:rFonts w:ascii="Times New Roman" w:hAnsi="Times New Roman" w:cs="Times New Roman"/>
                <w:lang w:val="ro-RO"/>
              </w:rPr>
            </w:pPr>
            <w:r w:rsidRPr="000F57AA">
              <w:rPr>
                <w:rFonts w:ascii="Times New Roman" w:hAnsi="Times New Roman" w:cs="Times New Roman"/>
                <w:lang w:val="ro-RO"/>
              </w:rPr>
              <w:t xml:space="preserve">Pct.7 din Regulamentul nr.XX/2025 </w:t>
            </w:r>
          </w:p>
          <w:p w14:paraId="42BF9596" w14:textId="011DA1E8"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Indicatorul efectului de levier, calculat conform </w:t>
            </w:r>
            <w:r w:rsidR="00E20608" w:rsidRPr="000F57AA">
              <w:rPr>
                <w:rFonts w:ascii="Times New Roman" w:hAnsi="Times New Roman" w:cs="Times New Roman"/>
                <w:lang w:val="ro-RO"/>
              </w:rPr>
              <w:t>punctului 11</w:t>
            </w:r>
            <w:r w:rsidR="00FE305E" w:rsidRPr="000F57AA">
              <w:rPr>
                <w:rFonts w:ascii="Times New Roman" w:hAnsi="Times New Roman" w:cs="Times New Roman"/>
                <w:lang w:val="ro-RO"/>
              </w:rPr>
              <w:t xml:space="preserve"> din prezenta anexă</w:t>
            </w:r>
            <w:r w:rsidRPr="000F57AA">
              <w:rPr>
                <w:rFonts w:ascii="Times New Roman" w:hAnsi="Times New Roman" w:cs="Times New Roman"/>
                <w:lang w:val="ro-RO"/>
              </w:rPr>
              <w:t>.</w:t>
            </w:r>
          </w:p>
        </w:tc>
      </w:tr>
      <w:tr w:rsidR="007342C4" w:rsidRPr="000F57AA" w14:paraId="4DDE321D" w14:textId="77777777" w:rsidTr="00652989">
        <w:trPr>
          <w:trHeight w:val="190"/>
        </w:trPr>
        <w:tc>
          <w:tcPr>
            <w:tcW w:w="988" w:type="dxa"/>
          </w:tcPr>
          <w:p w14:paraId="3B872DAC" w14:textId="12963F99"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{0340;0010}</w:t>
            </w:r>
          </w:p>
        </w:tc>
        <w:tc>
          <w:tcPr>
            <w:tcW w:w="7371" w:type="dxa"/>
          </w:tcPr>
          <w:p w14:paraId="53405F75" w14:textId="302C76CB"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Indicatorul efectului de levier – utilizând o definiţie tranzitorie a fondurilor proprii de nivel 1 </w:t>
            </w:r>
          </w:p>
        </w:tc>
        <w:tc>
          <w:tcPr>
            <w:tcW w:w="1417" w:type="dxa"/>
          </w:tcPr>
          <w:p w14:paraId="4BEFE983" w14:textId="122F24FE"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2489AC13" w14:textId="77777777" w:rsidTr="00652989">
        <w:trPr>
          <w:trHeight w:val="190"/>
        </w:trPr>
        <w:tc>
          <w:tcPr>
            <w:tcW w:w="988" w:type="dxa"/>
            <w:shd w:val="clear" w:color="auto" w:fill="E7E6E6" w:themeFill="background2"/>
          </w:tcPr>
          <w:p w14:paraId="4D5F5AB2" w14:textId="5A99D241"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Rând și coloană</w:t>
            </w:r>
          </w:p>
        </w:tc>
        <w:tc>
          <w:tcPr>
            <w:tcW w:w="8788" w:type="dxa"/>
            <w:gridSpan w:val="2"/>
            <w:shd w:val="clear" w:color="auto" w:fill="E7E6E6" w:themeFill="background2"/>
          </w:tcPr>
          <w:p w14:paraId="5E274B89" w14:textId="5A23F8AE"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b/>
                <w:bCs/>
                <w:lang w:val="ro-RO"/>
              </w:rPr>
              <w:t>Cerinţe: cuantumuri</w:t>
            </w:r>
          </w:p>
        </w:tc>
      </w:tr>
      <w:tr w:rsidR="007342C4" w:rsidRPr="00A05A6A" w14:paraId="452E0D1D" w14:textId="77777777" w:rsidTr="00652989">
        <w:trPr>
          <w:trHeight w:val="190"/>
        </w:trPr>
        <w:tc>
          <w:tcPr>
            <w:tcW w:w="988" w:type="dxa"/>
          </w:tcPr>
          <w:p w14:paraId="7DFF96AC" w14:textId="1A4F9CAF"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{0350;0010}</w:t>
            </w:r>
          </w:p>
        </w:tc>
        <w:tc>
          <w:tcPr>
            <w:tcW w:w="8788" w:type="dxa"/>
            <w:gridSpan w:val="2"/>
          </w:tcPr>
          <w:p w14:paraId="7B3A9FCA"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Cerinţa din cadrul pilonului 2 (P2R) pentru a aborda riscurile asociate folosirii excesive a efectului de levier </w:t>
            </w:r>
          </w:p>
          <w:p w14:paraId="13110DC2" w14:textId="7A8F4A1A"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Art.139 alin.(3)</w:t>
            </w:r>
            <w:r w:rsidR="00D91847" w:rsidRPr="000F57AA">
              <w:rPr>
                <w:rFonts w:ascii="Times New Roman" w:hAnsi="Times New Roman" w:cs="Times New Roman"/>
                <w:lang w:val="ro-RO"/>
              </w:rPr>
              <w:t xml:space="preserve"> lit.a)</w:t>
            </w:r>
            <w:r w:rsidRPr="000F57AA">
              <w:rPr>
                <w:rFonts w:ascii="Times New Roman" w:hAnsi="Times New Roman" w:cs="Times New Roman"/>
                <w:lang w:val="ro-RO"/>
              </w:rPr>
              <w:t xml:space="preserve"> din Legea nr.202/201</w:t>
            </w:r>
            <w:r w:rsidR="00E62F61" w:rsidRPr="000F57AA">
              <w:rPr>
                <w:rFonts w:ascii="Times New Roman" w:hAnsi="Times New Roman" w:cs="Times New Roman"/>
                <w:lang w:val="ro-RO"/>
              </w:rPr>
              <w:t>7</w:t>
            </w:r>
          </w:p>
          <w:p w14:paraId="514452EC" w14:textId="50EF5AC2"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 xml:space="preserve">fondurile proprii suplimentare impuse de BNM pentru a aborda riscurile asociate folosirii excesive a efectului de levier, astfel cum se menţionează la art.139 alin.(3) </w:t>
            </w:r>
            <w:r w:rsidR="00D91847" w:rsidRPr="000F57AA">
              <w:rPr>
                <w:rFonts w:ascii="Times New Roman" w:hAnsi="Times New Roman" w:cs="Times New Roman"/>
                <w:lang w:val="ro-RO"/>
              </w:rPr>
              <w:t xml:space="preserve">lit.a) </w:t>
            </w:r>
            <w:r w:rsidRPr="000F57AA">
              <w:rPr>
                <w:rFonts w:ascii="Times New Roman" w:hAnsi="Times New Roman" w:cs="Times New Roman"/>
                <w:lang w:val="ro-RO"/>
              </w:rPr>
              <w:t>din Legea nr.202/201</w:t>
            </w:r>
            <w:r w:rsidR="00E62F61" w:rsidRPr="000F57AA">
              <w:rPr>
                <w:rFonts w:ascii="Times New Roman" w:hAnsi="Times New Roman" w:cs="Times New Roman"/>
                <w:lang w:val="ro-RO"/>
              </w:rPr>
              <w:t>7</w:t>
            </w:r>
            <w:r w:rsidRPr="000F57AA">
              <w:rPr>
                <w:rFonts w:ascii="Times New Roman" w:hAnsi="Times New Roman" w:cs="Times New Roman"/>
                <w:lang w:val="ro-RO"/>
              </w:rPr>
              <w:t>.</w:t>
            </w:r>
          </w:p>
        </w:tc>
      </w:tr>
      <w:tr w:rsidR="007342C4" w:rsidRPr="00A05A6A" w14:paraId="569D0882" w14:textId="77777777" w:rsidTr="00652989">
        <w:trPr>
          <w:trHeight w:val="190"/>
        </w:trPr>
        <w:tc>
          <w:tcPr>
            <w:tcW w:w="988" w:type="dxa"/>
          </w:tcPr>
          <w:p w14:paraId="044B8F08" w14:textId="6F880316"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{0360;0010}</w:t>
            </w:r>
          </w:p>
        </w:tc>
        <w:tc>
          <w:tcPr>
            <w:tcW w:w="8788" w:type="dxa"/>
            <w:gridSpan w:val="2"/>
          </w:tcPr>
          <w:p w14:paraId="4FEB5A94"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Din care: va consta în fonduri proprii de nivel 1 de bază </w:t>
            </w:r>
          </w:p>
          <w:p w14:paraId="61BACED1" w14:textId="12FEB5B6"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Partea din P2R, menţionată pe rândul 0350, în privinţa căreia BNM impune să fie deţinută sub formă de fonduri proprii de nivel 1 de bază.</w:t>
            </w:r>
          </w:p>
        </w:tc>
      </w:tr>
      <w:tr w:rsidR="007342C4" w:rsidRPr="000F57AA" w14:paraId="1F8D4BDA" w14:textId="77777777" w:rsidTr="00652989">
        <w:trPr>
          <w:trHeight w:val="190"/>
        </w:trPr>
        <w:tc>
          <w:tcPr>
            <w:tcW w:w="988" w:type="dxa"/>
          </w:tcPr>
          <w:p w14:paraId="697DC374" w14:textId="388B6BE0"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{0370;0010}</w:t>
            </w:r>
          </w:p>
        </w:tc>
        <w:tc>
          <w:tcPr>
            <w:tcW w:w="7371" w:type="dxa"/>
          </w:tcPr>
          <w:p w14:paraId="57B65035"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Amortizorul pentru indicatorul efectului de levier în cazul G-SII </w:t>
            </w:r>
          </w:p>
          <w:p w14:paraId="6CA47B27"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18C02D0F" w14:textId="30C98450"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206E8B99" w14:textId="77777777" w:rsidTr="00652989">
        <w:trPr>
          <w:trHeight w:val="190"/>
        </w:trPr>
        <w:tc>
          <w:tcPr>
            <w:tcW w:w="988" w:type="dxa"/>
          </w:tcPr>
          <w:p w14:paraId="3B82D851" w14:textId="28B93D6C"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{0380;0010}</w:t>
            </w:r>
          </w:p>
        </w:tc>
        <w:tc>
          <w:tcPr>
            <w:tcW w:w="7371" w:type="dxa"/>
          </w:tcPr>
          <w:p w14:paraId="6576331F"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Orientările din cadrul pilonului 2 (P2G) pentru a aborda riscurile asociate folosirii excesive a efectului de levier </w:t>
            </w:r>
          </w:p>
          <w:p w14:paraId="797788B5"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25B15DF7" w14:textId="30B71903"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3E97CDC4" w14:textId="77777777" w:rsidTr="00652989">
        <w:trPr>
          <w:trHeight w:val="190"/>
        </w:trPr>
        <w:tc>
          <w:tcPr>
            <w:tcW w:w="988" w:type="dxa"/>
          </w:tcPr>
          <w:p w14:paraId="1FC4195B" w14:textId="62E8B7D9"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{0390;0010}</w:t>
            </w:r>
          </w:p>
        </w:tc>
        <w:tc>
          <w:tcPr>
            <w:tcW w:w="7371" w:type="dxa"/>
          </w:tcPr>
          <w:p w14:paraId="14E1EB22"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Din care: va consta în fonduri proprii de nivel 1 de bază </w:t>
            </w:r>
          </w:p>
          <w:p w14:paraId="2ECA65F2"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410D8443" w14:textId="66803EA3"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0D2D1CDC" w14:textId="77777777" w:rsidTr="00652989">
        <w:trPr>
          <w:trHeight w:val="190"/>
        </w:trPr>
        <w:tc>
          <w:tcPr>
            <w:tcW w:w="988" w:type="dxa"/>
          </w:tcPr>
          <w:p w14:paraId="0C14B207" w14:textId="2C880308"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{0400;0010}</w:t>
            </w:r>
          </w:p>
        </w:tc>
        <w:tc>
          <w:tcPr>
            <w:tcW w:w="7371" w:type="dxa"/>
          </w:tcPr>
          <w:p w14:paraId="78E917C1"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Din care: va consta în fonduri proprii de nivel 1 </w:t>
            </w:r>
          </w:p>
          <w:p w14:paraId="62FBEE07"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10FE7722" w14:textId="4CD7D401"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53192583" w14:textId="77777777" w:rsidTr="00652989">
        <w:trPr>
          <w:trHeight w:val="190"/>
        </w:trPr>
        <w:tc>
          <w:tcPr>
            <w:tcW w:w="988" w:type="dxa"/>
            <w:shd w:val="clear" w:color="auto" w:fill="E7E6E6" w:themeFill="background2"/>
          </w:tcPr>
          <w:p w14:paraId="35A1881D" w14:textId="71664FEE"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Rând și coloană</w:t>
            </w:r>
          </w:p>
        </w:tc>
        <w:tc>
          <w:tcPr>
            <w:tcW w:w="8788" w:type="dxa"/>
            <w:gridSpan w:val="2"/>
            <w:shd w:val="clear" w:color="auto" w:fill="E7E6E6" w:themeFill="background2"/>
          </w:tcPr>
          <w:p w14:paraId="10EF9AFA" w14:textId="7D155E8F"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b/>
                <w:bCs/>
                <w:lang w:val="ro-RO"/>
              </w:rPr>
              <w:t>Cerințe: indicatori</w:t>
            </w:r>
          </w:p>
        </w:tc>
      </w:tr>
      <w:tr w:rsidR="007342C4" w:rsidRPr="00A05A6A" w14:paraId="6A6D7C78" w14:textId="77777777" w:rsidTr="00652989">
        <w:trPr>
          <w:trHeight w:val="190"/>
        </w:trPr>
        <w:tc>
          <w:tcPr>
            <w:tcW w:w="988" w:type="dxa"/>
          </w:tcPr>
          <w:p w14:paraId="0F09FBE5" w14:textId="4DFA837B"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{0410;0010}</w:t>
            </w:r>
          </w:p>
        </w:tc>
        <w:tc>
          <w:tcPr>
            <w:tcW w:w="8788" w:type="dxa"/>
            <w:gridSpan w:val="2"/>
          </w:tcPr>
          <w:p w14:paraId="1E92DBEE"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Cerinţa privind indicatorul efectului de levier din pilonul 1 </w:t>
            </w:r>
          </w:p>
          <w:p w14:paraId="030BEF90" w14:textId="70ADEF8B"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Pct.130 subpct.4) din Regulamentul nr.109/2018, pct.23 și subpct.19.</w:t>
            </w:r>
            <w:r w:rsidR="004D7D82" w:rsidRPr="000F57AA">
              <w:rPr>
                <w:rFonts w:ascii="Times New Roman" w:hAnsi="Times New Roman" w:cs="Times New Roman"/>
                <w:lang w:val="ro-RO"/>
              </w:rPr>
              <w:t>10</w:t>
            </w:r>
            <w:r w:rsidRPr="000F57AA">
              <w:rPr>
                <w:rFonts w:ascii="Times New Roman" w:hAnsi="Times New Roman" w:cs="Times New Roman"/>
                <w:lang w:val="ro-RO"/>
              </w:rPr>
              <w:t xml:space="preserve"> din Regulamentul nr.XX/2025; indicatorul efectului de levier impus pentru a aborda riscurile asociate folosirii excesive a efectului de levier, astfel cum este menţionat la pct.130 subpct.4) din Regulamentul nr.109/2018 . </w:t>
            </w:r>
          </w:p>
          <w:p w14:paraId="0D114414" w14:textId="5BCB9BDC"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care exclud expunerile faţă de banca sa centrală, astfel cum se menţionează la subpct.19.</w:t>
            </w:r>
            <w:r w:rsidR="004D7D82" w:rsidRPr="000F57AA">
              <w:rPr>
                <w:rFonts w:ascii="Times New Roman" w:hAnsi="Times New Roman" w:cs="Times New Roman"/>
                <w:lang w:val="ro-RO"/>
              </w:rPr>
              <w:t>10</w:t>
            </w:r>
            <w:r w:rsidRPr="000F57AA">
              <w:rPr>
                <w:rFonts w:ascii="Times New Roman" w:hAnsi="Times New Roman" w:cs="Times New Roman"/>
                <w:lang w:val="ro-RO"/>
              </w:rPr>
              <w:t xml:space="preserve"> din Regulamentul nr.XX/2025, raportează cerinţa privind indicatorul efectului de levier ajustat prevăzută la pct.23 din Regulamentul nr.XX/2025.</w:t>
            </w:r>
          </w:p>
        </w:tc>
      </w:tr>
      <w:tr w:rsidR="007342C4" w:rsidRPr="00A05A6A" w14:paraId="430FCE80" w14:textId="77777777" w:rsidTr="00652989">
        <w:trPr>
          <w:trHeight w:val="190"/>
        </w:trPr>
        <w:tc>
          <w:tcPr>
            <w:tcW w:w="988" w:type="dxa"/>
          </w:tcPr>
          <w:p w14:paraId="45203794" w14:textId="1C849A7B"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{0420;0010}</w:t>
            </w:r>
          </w:p>
        </w:tc>
        <w:tc>
          <w:tcPr>
            <w:tcW w:w="8788" w:type="dxa"/>
            <w:gridSpan w:val="2"/>
          </w:tcPr>
          <w:p w14:paraId="26272B3D"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Cerinţa totală privind indicatorul efectului de levier din cadrul SREP (TSLRR) </w:t>
            </w:r>
          </w:p>
          <w:p w14:paraId="47B292BC" w14:textId="2D272436"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Art.139 alin.(3) din Legea nr.202/201</w:t>
            </w:r>
            <w:r w:rsidR="00E62F61" w:rsidRPr="000F57AA">
              <w:rPr>
                <w:rFonts w:ascii="Times New Roman" w:hAnsi="Times New Roman" w:cs="Times New Roman"/>
                <w:lang w:val="ro-RO"/>
              </w:rPr>
              <w:t>7</w:t>
            </w:r>
          </w:p>
          <w:p w14:paraId="28B40C64"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Suma dintre (i) și (ii), după cum urmează: </w:t>
            </w:r>
          </w:p>
          <w:p w14:paraId="5164EC46"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(i) cerinţa privind indicatorul efectului de levier din pilonul 1, raportată pe rândul 0410; </w:t>
            </w:r>
          </w:p>
          <w:p w14:paraId="1E4C26DB" w14:textId="6FCC5935"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t xml:space="preserve">(ii) rata fondurilor proprii suplimentare impuse de BNM (P2R) pentru a aborda riscurile asociate folosirii excesive a efectului de levier, astfel cum se menţionează art.139 alin.(3) </w:t>
            </w:r>
            <w:r w:rsidR="006D2249" w:rsidRPr="000F57AA">
              <w:rPr>
                <w:rFonts w:ascii="Times New Roman" w:hAnsi="Times New Roman" w:cs="Times New Roman"/>
                <w:lang w:val="ro-RO"/>
              </w:rPr>
              <w:t xml:space="preserve">lit.a) </w:t>
            </w:r>
            <w:r w:rsidRPr="000F57AA">
              <w:rPr>
                <w:rFonts w:ascii="Times New Roman" w:hAnsi="Times New Roman" w:cs="Times New Roman"/>
                <w:lang w:val="ro-RO"/>
              </w:rPr>
              <w:t>din Legea nr.202/201</w:t>
            </w:r>
            <w:r w:rsidR="00E62F61" w:rsidRPr="000F57AA">
              <w:rPr>
                <w:rFonts w:ascii="Times New Roman" w:hAnsi="Times New Roman" w:cs="Times New Roman"/>
                <w:lang w:val="ro-RO"/>
              </w:rPr>
              <w:t>7</w:t>
            </w:r>
            <w:r w:rsidRPr="000F57AA">
              <w:rPr>
                <w:rFonts w:ascii="Times New Roman" w:hAnsi="Times New Roman" w:cs="Times New Roman"/>
                <w:lang w:val="ro-RO"/>
              </w:rPr>
              <w:t xml:space="preserve">. Băncile calculează valoarea de la punctul (ii) împărţind valoarea din {0350;0010} la cea din {0300;0010}. </w:t>
            </w:r>
          </w:p>
          <w:p w14:paraId="00010B01" w14:textId="6A7B60D2"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Dacă BNM nu a comunicat nicio cerinţă de fonduri proprii suplimentare, se raportează doar punctul (i).</w:t>
            </w:r>
          </w:p>
        </w:tc>
      </w:tr>
      <w:tr w:rsidR="007342C4" w:rsidRPr="00A05A6A" w14:paraId="4707B882" w14:textId="77777777" w:rsidTr="00652989">
        <w:trPr>
          <w:trHeight w:val="190"/>
        </w:trPr>
        <w:tc>
          <w:tcPr>
            <w:tcW w:w="988" w:type="dxa"/>
          </w:tcPr>
          <w:p w14:paraId="23158A87" w14:textId="5CE2D4ED"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{0430;0010}</w:t>
            </w:r>
          </w:p>
        </w:tc>
        <w:tc>
          <w:tcPr>
            <w:tcW w:w="8788" w:type="dxa"/>
            <w:gridSpan w:val="2"/>
          </w:tcPr>
          <w:p w14:paraId="050F653D"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TSLRR: va consta în fonduri proprii de nivel 1 de bază </w:t>
            </w:r>
          </w:p>
          <w:p w14:paraId="3AAB802B"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lang w:val="ro-RO"/>
              </w:rPr>
              <w:lastRenderedPageBreak/>
              <w:t xml:space="preserve">Partea din rata fondurilor proprii suplimentare, menţionată la punctul (ii) de pe rândul 0420, în privinţa căreia BNM impune să fie deţinută sub formă de fonduri proprii de nivel 1 de bază. </w:t>
            </w:r>
          </w:p>
          <w:p w14:paraId="0C7030AB" w14:textId="6060D580"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lang w:val="ro-RO"/>
              </w:rPr>
              <w:t>Băncile calculează această valoare împărţind valoarea din {0360;0010} la cea din {0300;0010}.</w:t>
            </w:r>
          </w:p>
        </w:tc>
      </w:tr>
      <w:tr w:rsidR="007342C4" w:rsidRPr="000F57AA" w14:paraId="4F4D24A5" w14:textId="77777777" w:rsidTr="00652989">
        <w:trPr>
          <w:trHeight w:val="190"/>
        </w:trPr>
        <w:tc>
          <w:tcPr>
            <w:tcW w:w="988" w:type="dxa"/>
          </w:tcPr>
          <w:p w14:paraId="04F95E10" w14:textId="55D0905C"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lastRenderedPageBreak/>
              <w:t>{0440;0010}</w:t>
            </w:r>
          </w:p>
        </w:tc>
        <w:tc>
          <w:tcPr>
            <w:tcW w:w="7371" w:type="dxa"/>
          </w:tcPr>
          <w:p w14:paraId="3D3EFBCE"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Cerinţa globală privind indicatorul efectului de levier (OLRR) </w:t>
            </w:r>
          </w:p>
          <w:p w14:paraId="670DABBE"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6D9A30C0" w14:textId="4686334A"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78CF7573" w14:textId="77777777" w:rsidTr="00652989">
        <w:trPr>
          <w:trHeight w:val="190"/>
        </w:trPr>
        <w:tc>
          <w:tcPr>
            <w:tcW w:w="988" w:type="dxa"/>
          </w:tcPr>
          <w:p w14:paraId="715F98CE" w14:textId="0DE424DD"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{0450;0010}</w:t>
            </w:r>
          </w:p>
        </w:tc>
        <w:tc>
          <w:tcPr>
            <w:tcW w:w="7371" w:type="dxa"/>
          </w:tcPr>
          <w:p w14:paraId="0466F114" w14:textId="77777777" w:rsidR="007342C4" w:rsidRPr="000F57AA" w:rsidRDefault="007342C4" w:rsidP="007342C4">
            <w:pPr>
              <w:ind w:right="90" w:firstLine="465"/>
              <w:rPr>
                <w:rFonts w:ascii="Times New Roman" w:hAnsi="Times New Roman" w:cs="Times New Roman"/>
                <w:lang w:val="ro-RO"/>
              </w:rPr>
            </w:pPr>
            <w:r w:rsidRPr="000F57AA">
              <w:rPr>
                <w:rFonts w:ascii="Times New Roman" w:hAnsi="Times New Roman" w:cs="Times New Roman"/>
                <w:b/>
                <w:bCs/>
                <w:lang w:val="ro-RO"/>
              </w:rPr>
              <w:t>Cerinţa globală privind indicatorul efectului de levier (OLRR) și rata prevăzută în orientările din cadrul pilonului 2 (P2G)</w:t>
            </w:r>
            <w:r w:rsidRPr="000F57AA">
              <w:rPr>
                <w:rFonts w:ascii="Times New Roman" w:hAnsi="Times New Roman" w:cs="Times New Roman"/>
                <w:lang w:val="ro-RO"/>
              </w:rPr>
              <w:t xml:space="preserve"> </w:t>
            </w:r>
          </w:p>
          <w:p w14:paraId="106D842E"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7B75FF48" w14:textId="256A897B"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1827A55C" w14:textId="77777777" w:rsidTr="00652989">
        <w:trPr>
          <w:trHeight w:val="190"/>
        </w:trPr>
        <w:tc>
          <w:tcPr>
            <w:tcW w:w="988" w:type="dxa"/>
          </w:tcPr>
          <w:p w14:paraId="6471BD97" w14:textId="33590C0F"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{0460;0010}</w:t>
            </w:r>
          </w:p>
        </w:tc>
        <w:tc>
          <w:tcPr>
            <w:tcW w:w="7371" w:type="dxa"/>
          </w:tcPr>
          <w:p w14:paraId="7A305D75"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OLRR și P2G: vor consta în fonduri proprii de nivel 1 de bază </w:t>
            </w:r>
          </w:p>
          <w:p w14:paraId="7F87DCF1"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7A833F7D" w14:textId="13B51067"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489899F7" w14:textId="77777777" w:rsidTr="00652989">
        <w:trPr>
          <w:trHeight w:val="190"/>
        </w:trPr>
        <w:tc>
          <w:tcPr>
            <w:tcW w:w="988" w:type="dxa"/>
          </w:tcPr>
          <w:p w14:paraId="35CA6B2A" w14:textId="390B8B40"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{0470;0010}</w:t>
            </w:r>
          </w:p>
        </w:tc>
        <w:tc>
          <w:tcPr>
            <w:tcW w:w="7371" w:type="dxa"/>
          </w:tcPr>
          <w:p w14:paraId="0AE9FA82" w14:textId="77777777" w:rsidR="007342C4" w:rsidRPr="000F57AA" w:rsidRDefault="007342C4" w:rsidP="007342C4">
            <w:pPr>
              <w:ind w:right="90" w:firstLine="465"/>
              <w:rPr>
                <w:rFonts w:ascii="Times New Roman" w:hAnsi="Times New Roman" w:cs="Times New Roman"/>
                <w:b/>
                <w:bCs/>
                <w:lang w:val="ro-RO"/>
              </w:rPr>
            </w:pPr>
            <w:r w:rsidRPr="000F57AA">
              <w:rPr>
                <w:rFonts w:ascii="Times New Roman" w:hAnsi="Times New Roman" w:cs="Times New Roman"/>
                <w:b/>
                <w:bCs/>
                <w:lang w:val="ro-RO"/>
              </w:rPr>
              <w:t xml:space="preserve">OLRR și P2G: vor consta în fonduri proprii de nivel 1 </w:t>
            </w:r>
          </w:p>
          <w:p w14:paraId="5037E6E4" w14:textId="77777777" w:rsidR="007342C4" w:rsidRPr="000F57AA" w:rsidRDefault="007342C4" w:rsidP="007342C4">
            <w:pPr>
              <w:ind w:firstLine="465"/>
              <w:rPr>
                <w:rFonts w:ascii="Times New Roman" w:eastAsia="Times New Roman" w:hAnsi="Times New Roman" w:cs="Times New Roman"/>
                <w:b/>
                <w:bCs/>
                <w:lang w:val="ro-RO"/>
              </w:rPr>
            </w:pPr>
          </w:p>
        </w:tc>
        <w:tc>
          <w:tcPr>
            <w:tcW w:w="1417" w:type="dxa"/>
          </w:tcPr>
          <w:p w14:paraId="317DF7CF" w14:textId="2442EA5B"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069AFC09" w14:textId="77777777" w:rsidTr="00652989">
        <w:trPr>
          <w:trHeight w:val="190"/>
        </w:trPr>
        <w:tc>
          <w:tcPr>
            <w:tcW w:w="988" w:type="dxa"/>
            <w:shd w:val="clear" w:color="auto" w:fill="E7E6E6" w:themeFill="background2"/>
          </w:tcPr>
          <w:p w14:paraId="491957BA" w14:textId="6839AEA0"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Rând și coloană</w:t>
            </w:r>
          </w:p>
        </w:tc>
        <w:tc>
          <w:tcPr>
            <w:tcW w:w="8788" w:type="dxa"/>
            <w:gridSpan w:val="2"/>
            <w:shd w:val="clear" w:color="auto" w:fill="E7E6E6" w:themeFill="background2"/>
          </w:tcPr>
          <w:p w14:paraId="6C474E7D" w14:textId="07ED1FC6" w:rsidR="007342C4" w:rsidRPr="000F57AA" w:rsidRDefault="007342C4" w:rsidP="007342C4">
            <w:pPr>
              <w:ind w:firstLine="465"/>
              <w:rPr>
                <w:rFonts w:ascii="Times New Roman" w:eastAsia="Times New Roman" w:hAnsi="Times New Roman" w:cs="Times New Roman"/>
                <w:b/>
                <w:bCs/>
                <w:lang w:val="ro-RO"/>
              </w:rPr>
            </w:pPr>
            <w:r w:rsidRPr="000F57AA">
              <w:rPr>
                <w:rFonts w:ascii="Times New Roman" w:hAnsi="Times New Roman" w:cs="Times New Roman"/>
                <w:b/>
                <w:bCs/>
                <w:lang w:val="ro-RO"/>
              </w:rPr>
              <w:t>Elemente memorandum</w:t>
            </w:r>
          </w:p>
        </w:tc>
      </w:tr>
      <w:tr w:rsidR="007342C4" w:rsidRPr="000F57AA" w14:paraId="0F1F0606" w14:textId="77777777" w:rsidTr="00652989">
        <w:trPr>
          <w:trHeight w:val="190"/>
        </w:trPr>
        <w:tc>
          <w:tcPr>
            <w:tcW w:w="988" w:type="dxa"/>
          </w:tcPr>
          <w:p w14:paraId="55B07BC3" w14:textId="5713B3E7"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{0480;0010}</w:t>
            </w:r>
          </w:p>
        </w:tc>
        <w:tc>
          <w:tcPr>
            <w:tcW w:w="7371" w:type="dxa"/>
          </w:tcPr>
          <w:p w14:paraId="73FB1E50" w14:textId="7E5A4284"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Indicatorul efectului de levier ca și cum nu s-ar fi aplicat IFRS 9 sau măsurile tranzitorii similare privind pierderile din credit așteptate (expected credit loss - ECL) </w:t>
            </w:r>
          </w:p>
        </w:tc>
        <w:tc>
          <w:tcPr>
            <w:tcW w:w="1417" w:type="dxa"/>
          </w:tcPr>
          <w:p w14:paraId="6E88BF47" w14:textId="6491505B"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r w:rsidR="007342C4" w:rsidRPr="000F57AA" w14:paraId="4C8671F6" w14:textId="77777777" w:rsidTr="00652989">
        <w:trPr>
          <w:trHeight w:val="190"/>
        </w:trPr>
        <w:tc>
          <w:tcPr>
            <w:tcW w:w="988" w:type="dxa"/>
          </w:tcPr>
          <w:p w14:paraId="7A2DBB37" w14:textId="42118D87" w:rsidR="007342C4" w:rsidRPr="000F57AA" w:rsidRDefault="007342C4" w:rsidP="007342C4">
            <w:pPr>
              <w:rPr>
                <w:rFonts w:ascii="Times New Roman" w:eastAsia="Times New Roman" w:hAnsi="Times New Roman" w:cs="Times New Roman"/>
                <w:lang w:val="ro-RO"/>
              </w:rPr>
            </w:pPr>
            <w:r w:rsidRPr="000F57AA">
              <w:rPr>
                <w:rFonts w:ascii="Times New Roman" w:hAnsi="Times New Roman" w:cs="Times New Roman"/>
                <w:lang w:val="ro-RO"/>
              </w:rPr>
              <w:t>{0490;0010}</w:t>
            </w:r>
          </w:p>
        </w:tc>
        <w:tc>
          <w:tcPr>
            <w:tcW w:w="7371" w:type="dxa"/>
          </w:tcPr>
          <w:p w14:paraId="3AFCBFA9" w14:textId="661A33A3" w:rsidR="007342C4" w:rsidRPr="000F57AA" w:rsidRDefault="007342C4" w:rsidP="007342C4">
            <w:pPr>
              <w:ind w:right="90" w:firstLine="465"/>
              <w:rPr>
                <w:rFonts w:ascii="Times New Roman" w:eastAsia="Times New Roman" w:hAnsi="Times New Roman" w:cs="Times New Roman"/>
                <w:b/>
                <w:bCs/>
                <w:lang w:val="ro-RO"/>
              </w:rPr>
            </w:pPr>
            <w:r w:rsidRPr="000F57AA">
              <w:rPr>
                <w:rFonts w:ascii="Times New Roman" w:hAnsi="Times New Roman" w:cs="Times New Roman"/>
                <w:b/>
                <w:bCs/>
                <w:lang w:val="ro-RO"/>
              </w:rPr>
              <w:t xml:space="preserve">Indicatorul efectului de levier ca și cum nu s-ar fi aplicat tratamentul temporar al câștigurilor și al pierderilor nerealizate evaluate la valoarea justă prin alte elemente ale rezultatului global </w:t>
            </w:r>
          </w:p>
        </w:tc>
        <w:tc>
          <w:tcPr>
            <w:tcW w:w="1417" w:type="dxa"/>
          </w:tcPr>
          <w:p w14:paraId="47741CEC" w14:textId="35C49777" w:rsidR="007342C4" w:rsidRPr="000F57AA" w:rsidRDefault="007342C4" w:rsidP="007342C4">
            <w:pPr>
              <w:rPr>
                <w:rFonts w:ascii="Times New Roman" w:eastAsia="Times New Roman" w:hAnsi="Times New Roman" w:cs="Times New Roman"/>
                <w:b/>
                <w:bCs/>
                <w:lang w:val="ro-RO"/>
              </w:rPr>
            </w:pPr>
            <w:r w:rsidRPr="000F57AA">
              <w:rPr>
                <w:rFonts w:ascii="Times New Roman" w:eastAsia="Times New Roman" w:hAnsi="Times New Roman" w:cs="Times New Roman"/>
                <w:lang w:val="ro-RO"/>
              </w:rPr>
              <w:t>blocat</w:t>
            </w:r>
          </w:p>
        </w:tc>
      </w:tr>
    </w:tbl>
    <w:p w14:paraId="56A2030D" w14:textId="77777777" w:rsidR="00F850FD" w:rsidRPr="000F57AA" w:rsidRDefault="00F850FD" w:rsidP="00F850FD">
      <w:pPr>
        <w:spacing w:after="0"/>
        <w:ind w:firstLine="708"/>
        <w:rPr>
          <w:rFonts w:ascii="Times New Roman" w:eastAsia="Times New Roman" w:hAnsi="Times New Roman" w:cs="Times New Roman"/>
          <w:b/>
          <w:bCs/>
          <w:i/>
          <w:iCs/>
          <w:lang w:val="ro-RO"/>
        </w:rPr>
      </w:pPr>
    </w:p>
    <w:p w14:paraId="0376D78B" w14:textId="423F5269" w:rsidR="00116A77" w:rsidRPr="000F57AA" w:rsidRDefault="00116A77" w:rsidP="00116A77">
      <w:pPr>
        <w:spacing w:after="0"/>
        <w:ind w:firstLine="708"/>
        <w:rPr>
          <w:rFonts w:ascii="Times New Roman" w:eastAsia="Times New Roman" w:hAnsi="Times New Roman" w:cs="Times New Roman"/>
          <w:b/>
          <w:bCs/>
          <w:i/>
          <w:iCs/>
          <w:lang w:val="ro-RO"/>
        </w:rPr>
      </w:pPr>
      <w:r w:rsidRPr="000F57AA">
        <w:rPr>
          <w:rFonts w:ascii="Times New Roman" w:eastAsia="Times New Roman" w:hAnsi="Times New Roman" w:cs="Times New Roman"/>
          <w:b/>
          <w:bCs/>
          <w:i/>
          <w:iCs/>
          <w:lang w:val="ro-RO"/>
        </w:rPr>
        <w:t xml:space="preserve">Secțiunea 4. C 40.00 – </w:t>
      </w:r>
      <w:bookmarkStart w:id="8" w:name="_Hlk192592775"/>
      <w:r w:rsidRPr="000F57AA">
        <w:rPr>
          <w:rFonts w:ascii="Times New Roman" w:eastAsia="Times New Roman" w:hAnsi="Times New Roman" w:cs="Times New Roman"/>
          <w:b/>
          <w:bCs/>
          <w:i/>
          <w:iCs/>
          <w:lang w:val="ro-RO"/>
        </w:rPr>
        <w:t>Tratamentul alternativ al indicatorului de măsurare a expunerii (LR1)</w:t>
      </w:r>
    </w:p>
    <w:bookmarkEnd w:id="8"/>
    <w:p w14:paraId="09CB7BEB" w14:textId="0137AD8A" w:rsidR="00116A77" w:rsidRPr="000F57AA" w:rsidRDefault="00116A77" w:rsidP="00116A77">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28. În acest formular se colectează date privind tratamentul alternativ al instrumentelor financiare derivate, al SFT-urilor, al elementelor extrabilanţiere, al investiţiilor în sectorul public excluse.</w:t>
      </w:r>
    </w:p>
    <w:p w14:paraId="52176097" w14:textId="1A67F753" w:rsidR="00116A77" w:rsidRPr="000F57AA" w:rsidRDefault="00116A77" w:rsidP="00116A77">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29. Băncile determină „valorile contabile din bilanţ” introduse în LR1 pe baza cadrului contabil IFRS. „Valoarea contabilă presupunând că nu se recurge la compensare sau la altă tehnică CRM” se referă la valoarea contabilă din bilanţ care nu ia în considerare efectele compensării sau ale diminuării riscului.</w:t>
      </w:r>
    </w:p>
    <w:p w14:paraId="77B0A128" w14:textId="3DF346D0" w:rsidR="009D5A35" w:rsidRPr="000F57AA" w:rsidRDefault="00116A77" w:rsidP="009D5A35">
      <w:pPr>
        <w:spacing w:after="0"/>
        <w:ind w:firstLine="708"/>
        <w:rPr>
          <w:rFonts w:ascii="Times New Roman" w:hAnsi="Times New Roman" w:cs="Times New Roman"/>
          <w:color w:val="000000"/>
          <w:lang w:val="ro-RO"/>
          <w14:ligatures w14:val="standardContextual"/>
        </w:rPr>
      </w:pPr>
      <w:r w:rsidRPr="000F57AA">
        <w:rPr>
          <w:rFonts w:ascii="Times New Roman" w:eastAsia="Times New Roman" w:hAnsi="Times New Roman" w:cs="Times New Roman"/>
          <w:lang w:val="ro-RO"/>
        </w:rPr>
        <w:t xml:space="preserve">30. Băncile raportează elementele din LR1 ca și cum elementele care au semn negativ în formularul LRCalc (de exemplu exceptările/deducerile) în conformitate cu convenţia privind semnele din </w:t>
      </w:r>
      <w:r w:rsidR="00E11F1A" w:rsidRPr="000F57AA">
        <w:rPr>
          <w:rFonts w:ascii="Times New Roman" w:eastAsia="Times New Roman" w:hAnsi="Times New Roman" w:cs="Times New Roman"/>
          <w:lang w:val="ro-RO"/>
        </w:rPr>
        <w:t>subsecțiunea 4, secțiunea 1, capitolul I</w:t>
      </w:r>
      <w:r w:rsidRPr="000F57AA">
        <w:rPr>
          <w:rFonts w:ascii="Times New Roman" w:eastAsia="Times New Roman" w:hAnsi="Times New Roman" w:cs="Times New Roman"/>
          <w:lang w:val="ro-RO"/>
        </w:rPr>
        <w:t xml:space="preserve"> din prezenta anexă, cu excepţia rândurilor {0270;0010} {0280;0010}, nu s-ar aplica.</w:t>
      </w:r>
      <w:r w:rsidR="009D5A35" w:rsidRPr="000F57AA">
        <w:rPr>
          <w:rFonts w:ascii="Times New Roman" w:hAnsi="Times New Roman" w:cs="Times New Roman"/>
          <w:color w:val="000000"/>
          <w:lang w:val="ro-RO"/>
          <w14:ligatures w14:val="standardContextual"/>
        </w:rPr>
        <w:t xml:space="preserve"> </w:t>
      </w:r>
    </w:p>
    <w:p w14:paraId="376B3D9F" w14:textId="40A50C6C" w:rsidR="00116A77" w:rsidRPr="000F57AA" w:rsidRDefault="009D5A35" w:rsidP="00116A77">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31. {r0410;c0010} din formularul </w:t>
      </w:r>
      <w:r w:rsidR="00D10246" w:rsidRPr="000F57AA">
        <w:rPr>
          <w:rFonts w:ascii="Times New Roman" w:eastAsia="Times New Roman" w:hAnsi="Times New Roman" w:cs="Times New Roman"/>
          <w:lang w:val="ro-RO"/>
        </w:rPr>
        <w:t xml:space="preserve">C </w:t>
      </w:r>
      <w:r w:rsidRPr="000F57AA">
        <w:rPr>
          <w:rFonts w:ascii="Times New Roman" w:eastAsia="Times New Roman" w:hAnsi="Times New Roman" w:cs="Times New Roman"/>
          <w:lang w:val="ro-RO"/>
        </w:rPr>
        <w:t>40.00 se raportează de către bănci cu frecvenţă anuală.</w:t>
      </w:r>
    </w:p>
    <w:p w14:paraId="7DF3CB1D" w14:textId="77777777" w:rsidR="006D7A45" w:rsidRPr="000F57AA" w:rsidRDefault="006D7A45" w:rsidP="00116A77">
      <w:pPr>
        <w:spacing w:after="0"/>
        <w:ind w:firstLine="708"/>
        <w:rPr>
          <w:rFonts w:ascii="Times New Roman" w:eastAsia="Times New Roman" w:hAnsi="Times New Roman" w:cs="Times New Roman"/>
          <w:lang w:val="ro-RO"/>
        </w:rPr>
      </w:pPr>
    </w:p>
    <w:p w14:paraId="5679C5E4" w14:textId="77777777" w:rsidR="006D7A45" w:rsidRPr="000F57AA" w:rsidRDefault="006D7A45" w:rsidP="00116A77">
      <w:pPr>
        <w:spacing w:after="0"/>
        <w:ind w:firstLine="708"/>
        <w:rPr>
          <w:rFonts w:ascii="Times New Roman" w:eastAsia="Times New Roman" w:hAnsi="Times New Roman" w:cs="Times New Roman"/>
          <w:lang w:val="ro-RO"/>
        </w:rPr>
      </w:pPr>
    </w:p>
    <w:p w14:paraId="3E5821DA" w14:textId="77777777" w:rsidR="006D7A45" w:rsidRPr="000F57AA" w:rsidRDefault="006D7A45" w:rsidP="00116A77">
      <w:pPr>
        <w:spacing w:after="0"/>
        <w:ind w:firstLine="708"/>
        <w:rPr>
          <w:rFonts w:ascii="Times New Roman" w:eastAsia="Times New Roman" w:hAnsi="Times New Roman" w:cs="Times New Roman"/>
          <w:lang w:val="ro-RO"/>
        </w:rPr>
      </w:pPr>
    </w:p>
    <w:p w14:paraId="5E68CA80" w14:textId="77777777" w:rsidR="006D7A45" w:rsidRPr="000F57AA" w:rsidRDefault="006D7A45" w:rsidP="00116A77">
      <w:pPr>
        <w:spacing w:after="0"/>
        <w:ind w:firstLine="708"/>
        <w:rPr>
          <w:rFonts w:ascii="Times New Roman" w:eastAsia="Times New Roman" w:hAnsi="Times New Roman" w:cs="Times New Roman"/>
          <w:lang w:val="ro-RO"/>
        </w:rPr>
      </w:pPr>
    </w:p>
    <w:p w14:paraId="7A323604" w14:textId="77777777" w:rsidR="00D87000" w:rsidRPr="000F57AA" w:rsidRDefault="00D87000" w:rsidP="006D7A45">
      <w:pPr>
        <w:spacing w:before="100" w:beforeAutospacing="1" w:after="100" w:afterAutospacing="1" w:line="240" w:lineRule="auto"/>
        <w:rPr>
          <w:rFonts w:ascii="Times New Roman" w:eastAsia="Times New Roman" w:hAnsi="Times New Roman" w:cs="Times New Roman"/>
          <w:color w:val="000000"/>
          <w:lang w:val="ro-RO" w:eastAsia="ro-MD"/>
        </w:rPr>
        <w:sectPr w:rsidR="00D87000" w:rsidRPr="000F57A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pPr>
    </w:p>
    <w:p w14:paraId="4CE0562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C 40.00 - TRATAMENTUL ALTERNATIV AL INDICATORULUI DE MĂSURARE A EXPUNERII (LR1)</w:t>
      </w:r>
    </w:p>
    <w:tbl>
      <w:tblPr>
        <w:tblW w:w="1526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5625"/>
        <w:gridCol w:w="1135"/>
        <w:gridCol w:w="1474"/>
        <w:gridCol w:w="1349"/>
        <w:gridCol w:w="1217"/>
        <w:gridCol w:w="1198"/>
        <w:gridCol w:w="1247"/>
        <w:gridCol w:w="1418"/>
      </w:tblGrid>
      <w:tr w:rsidR="006D7A45" w:rsidRPr="00A05A6A" w14:paraId="19108B8D" w14:textId="77777777" w:rsidTr="00381D5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5554F75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Rând</w:t>
            </w:r>
          </w:p>
        </w:tc>
        <w:tc>
          <w:tcPr>
            <w:tcW w:w="5625"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37A0DB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 </w:t>
            </w:r>
          </w:p>
        </w:tc>
        <w:tc>
          <w:tcPr>
            <w:tcW w:w="113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31169D5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Valoarea contabilă din bilanț</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B9EAAA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Valoarea contabilă presupunând că nu se recurge la compensare sau la altă tehnică CRM</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105D4A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Majorarea pentru operațiuni de finanțare prin instrumente financiare (SFT-uri)</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77BB306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Cuantumul noțional /valoarea nominală</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33BD7C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Cuantumul noțional plafonat</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09D28FF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Cuantumul noțional plafonat (același nume de referință)</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DE8DA6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Cuantumul expunerii pentru calcularea indicatorului efectului de levier</w:t>
            </w:r>
          </w:p>
        </w:tc>
      </w:tr>
      <w:tr w:rsidR="006D7A45" w:rsidRPr="000F57AA" w14:paraId="4DEDC3B3" w14:textId="77777777" w:rsidTr="00381D5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2AC64EC1" w14:textId="77777777" w:rsidR="006D7A45" w:rsidRPr="000F57AA" w:rsidRDefault="006D7A45" w:rsidP="006D7A45">
            <w:pPr>
              <w:spacing w:after="0" w:line="240" w:lineRule="auto"/>
              <w:rPr>
                <w:rFonts w:ascii="Times New Roman" w:eastAsia="Times New Roman" w:hAnsi="Times New Roman" w:cs="Times New Roman"/>
                <w:b/>
                <w:bCs/>
                <w:color w:val="000000"/>
                <w:lang w:val="ro-RO" w:eastAsia="ro-MD"/>
              </w:rPr>
            </w:pPr>
          </w:p>
        </w:tc>
        <w:tc>
          <w:tcPr>
            <w:tcW w:w="5625"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4C8143D" w14:textId="77777777" w:rsidR="006D7A45" w:rsidRPr="000F57AA" w:rsidRDefault="006D7A45" w:rsidP="006D7A45">
            <w:pPr>
              <w:spacing w:after="0" w:line="240" w:lineRule="auto"/>
              <w:rPr>
                <w:rFonts w:ascii="Times New Roman" w:eastAsia="Times New Roman" w:hAnsi="Times New Roman" w:cs="Times New Roman"/>
                <w:b/>
                <w:bCs/>
                <w:color w:val="000000"/>
                <w:lang w:val="ro-RO" w:eastAsia="ro-MD"/>
              </w:rPr>
            </w:pPr>
          </w:p>
        </w:tc>
        <w:tc>
          <w:tcPr>
            <w:tcW w:w="113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ABD1E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0010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44D08B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0020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3A54227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0040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8BBA5E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0070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1D81A8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0075</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3A7EB32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0085</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29AC315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0130</w:t>
            </w:r>
          </w:p>
        </w:tc>
      </w:tr>
      <w:tr w:rsidR="006D7A45" w:rsidRPr="000F57AA" w14:paraId="546388D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7995D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0010</w:t>
            </w:r>
          </w:p>
        </w:tc>
        <w:tc>
          <w:tcPr>
            <w:tcW w:w="5625" w:type="dxa"/>
            <w:tcBorders>
              <w:top w:val="outset" w:sz="6" w:space="0" w:color="auto"/>
              <w:left w:val="outset" w:sz="6" w:space="0" w:color="auto"/>
              <w:bottom w:val="outset" w:sz="6" w:space="0" w:color="auto"/>
              <w:right w:val="outset" w:sz="6" w:space="0" w:color="auto"/>
            </w:tcBorders>
            <w:hideMark/>
          </w:tcPr>
          <w:p w14:paraId="14768E4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w:t>
            </w:r>
          </w:p>
        </w:tc>
        <w:tc>
          <w:tcPr>
            <w:tcW w:w="1135" w:type="dxa"/>
            <w:tcBorders>
              <w:top w:val="outset" w:sz="6" w:space="0" w:color="auto"/>
              <w:left w:val="outset" w:sz="6" w:space="0" w:color="auto"/>
              <w:bottom w:val="outset" w:sz="6" w:space="0" w:color="auto"/>
              <w:right w:val="outset" w:sz="6" w:space="0" w:color="auto"/>
            </w:tcBorders>
            <w:hideMark/>
          </w:tcPr>
          <w:p w14:paraId="233D41F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0176F9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E21318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A74CB1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9F7BA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A56C6B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E119A9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6BC249E8"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85639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0020</w:t>
            </w:r>
          </w:p>
        </w:tc>
        <w:tc>
          <w:tcPr>
            <w:tcW w:w="5625" w:type="dxa"/>
            <w:tcBorders>
              <w:top w:val="outset" w:sz="6" w:space="0" w:color="auto"/>
              <w:left w:val="outset" w:sz="6" w:space="0" w:color="auto"/>
              <w:bottom w:val="outset" w:sz="6" w:space="0" w:color="auto"/>
              <w:right w:val="outset" w:sz="6" w:space="0" w:color="auto"/>
            </w:tcBorders>
            <w:hideMark/>
          </w:tcPr>
          <w:p w14:paraId="5D4B712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de credit (protecție vândută)</w:t>
            </w:r>
          </w:p>
        </w:tc>
        <w:tc>
          <w:tcPr>
            <w:tcW w:w="1135" w:type="dxa"/>
            <w:tcBorders>
              <w:top w:val="outset" w:sz="6" w:space="0" w:color="auto"/>
              <w:left w:val="outset" w:sz="6" w:space="0" w:color="auto"/>
              <w:bottom w:val="outset" w:sz="6" w:space="0" w:color="auto"/>
              <w:right w:val="outset" w:sz="6" w:space="0" w:color="auto"/>
            </w:tcBorders>
            <w:hideMark/>
          </w:tcPr>
          <w:p w14:paraId="323FB27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0AE50E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62874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0EDAFE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982E2D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D45912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0DF260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01DC142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9A3D0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0030</w:t>
            </w:r>
          </w:p>
        </w:tc>
        <w:tc>
          <w:tcPr>
            <w:tcW w:w="5625" w:type="dxa"/>
            <w:tcBorders>
              <w:top w:val="outset" w:sz="6" w:space="0" w:color="auto"/>
              <w:left w:val="outset" w:sz="6" w:space="0" w:color="auto"/>
              <w:bottom w:val="outset" w:sz="6" w:space="0" w:color="auto"/>
              <w:right w:val="outset" w:sz="6" w:space="0" w:color="auto"/>
            </w:tcBorders>
            <w:hideMark/>
          </w:tcPr>
          <w:p w14:paraId="1324C14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de credit (protecție vândută) supuse unei clauze de lichidare</w:t>
            </w:r>
          </w:p>
        </w:tc>
        <w:tc>
          <w:tcPr>
            <w:tcW w:w="1135" w:type="dxa"/>
            <w:tcBorders>
              <w:top w:val="outset" w:sz="6" w:space="0" w:color="auto"/>
              <w:left w:val="outset" w:sz="6" w:space="0" w:color="auto"/>
              <w:bottom w:val="outset" w:sz="6" w:space="0" w:color="auto"/>
              <w:right w:val="outset" w:sz="6" w:space="0" w:color="auto"/>
            </w:tcBorders>
            <w:hideMark/>
          </w:tcPr>
          <w:p w14:paraId="0417014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197F34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D5BD9E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7C281B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BF6AA1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0E7E3B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B178F2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2CA7E03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FCEFC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0040</w:t>
            </w:r>
          </w:p>
        </w:tc>
        <w:tc>
          <w:tcPr>
            <w:tcW w:w="5625" w:type="dxa"/>
            <w:tcBorders>
              <w:top w:val="outset" w:sz="6" w:space="0" w:color="auto"/>
              <w:left w:val="outset" w:sz="6" w:space="0" w:color="auto"/>
              <w:bottom w:val="outset" w:sz="6" w:space="0" w:color="auto"/>
              <w:right w:val="outset" w:sz="6" w:space="0" w:color="auto"/>
            </w:tcBorders>
            <w:hideMark/>
          </w:tcPr>
          <w:p w14:paraId="6C86C10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de credit (protecție vândută) nesupuse unei clauze de lichidare</w:t>
            </w:r>
          </w:p>
        </w:tc>
        <w:tc>
          <w:tcPr>
            <w:tcW w:w="1135" w:type="dxa"/>
            <w:tcBorders>
              <w:top w:val="outset" w:sz="6" w:space="0" w:color="auto"/>
              <w:left w:val="outset" w:sz="6" w:space="0" w:color="auto"/>
              <w:bottom w:val="outset" w:sz="6" w:space="0" w:color="auto"/>
              <w:right w:val="outset" w:sz="6" w:space="0" w:color="auto"/>
            </w:tcBorders>
            <w:hideMark/>
          </w:tcPr>
          <w:p w14:paraId="08A88C3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5176C3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E9EBB0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A7A58A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2A7FFB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209214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34DD9C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2FACB69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505CD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0050</w:t>
            </w:r>
          </w:p>
        </w:tc>
        <w:tc>
          <w:tcPr>
            <w:tcW w:w="5625" w:type="dxa"/>
            <w:tcBorders>
              <w:top w:val="outset" w:sz="6" w:space="0" w:color="auto"/>
              <w:left w:val="outset" w:sz="6" w:space="0" w:color="auto"/>
              <w:bottom w:val="outset" w:sz="6" w:space="0" w:color="auto"/>
              <w:right w:val="outset" w:sz="6" w:space="0" w:color="auto"/>
            </w:tcBorders>
            <w:hideMark/>
          </w:tcPr>
          <w:p w14:paraId="09058D6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 de credit (protecție cumpărată)</w:t>
            </w:r>
          </w:p>
        </w:tc>
        <w:tc>
          <w:tcPr>
            <w:tcW w:w="1135" w:type="dxa"/>
            <w:tcBorders>
              <w:top w:val="outset" w:sz="6" w:space="0" w:color="auto"/>
              <w:left w:val="outset" w:sz="6" w:space="0" w:color="auto"/>
              <w:bottom w:val="outset" w:sz="6" w:space="0" w:color="auto"/>
              <w:right w:val="outset" w:sz="6" w:space="0" w:color="auto"/>
            </w:tcBorders>
            <w:hideMark/>
          </w:tcPr>
          <w:p w14:paraId="350F5DB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98B54D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143167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5C0F8C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15545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852851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0C7E51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44D66C8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E595C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0060</w:t>
            </w:r>
          </w:p>
        </w:tc>
        <w:tc>
          <w:tcPr>
            <w:tcW w:w="5625" w:type="dxa"/>
            <w:tcBorders>
              <w:top w:val="outset" w:sz="6" w:space="0" w:color="auto"/>
              <w:left w:val="outset" w:sz="6" w:space="0" w:color="auto"/>
              <w:bottom w:val="outset" w:sz="6" w:space="0" w:color="auto"/>
              <w:right w:val="outset" w:sz="6" w:space="0" w:color="auto"/>
            </w:tcBorders>
            <w:hideMark/>
          </w:tcPr>
          <w:p w14:paraId="75AF9B6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Instrumente financiare derivate</w:t>
            </w:r>
          </w:p>
        </w:tc>
        <w:tc>
          <w:tcPr>
            <w:tcW w:w="1135" w:type="dxa"/>
            <w:tcBorders>
              <w:top w:val="outset" w:sz="6" w:space="0" w:color="auto"/>
              <w:left w:val="outset" w:sz="6" w:space="0" w:color="auto"/>
              <w:bottom w:val="outset" w:sz="6" w:space="0" w:color="auto"/>
              <w:right w:val="outset" w:sz="6" w:space="0" w:color="auto"/>
            </w:tcBorders>
            <w:hideMark/>
          </w:tcPr>
          <w:p w14:paraId="6CE8B8E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0A0F5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7FA8672" w14:textId="77777777" w:rsidR="006D7A45" w:rsidRPr="000F57AA" w:rsidRDefault="006D7A45" w:rsidP="006D7A45">
            <w:pPr>
              <w:tabs>
                <w:tab w:val="center" w:pos="629"/>
              </w:tabs>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r w:rsidRPr="000F57AA">
              <w:rPr>
                <w:rFonts w:ascii="Times New Roman" w:eastAsia="Times New Roman" w:hAnsi="Times New Roman" w:cs="Times New Roman"/>
                <w:color w:val="000000"/>
                <w:lang w:val="ro-RO" w:eastAsia="ro-MD"/>
              </w:rPr>
              <w:tab/>
            </w:r>
          </w:p>
        </w:tc>
        <w:tc>
          <w:tcPr>
            <w:tcW w:w="0" w:type="auto"/>
            <w:tcBorders>
              <w:top w:val="outset" w:sz="6" w:space="0" w:color="auto"/>
              <w:left w:val="outset" w:sz="6" w:space="0" w:color="auto"/>
              <w:bottom w:val="outset" w:sz="6" w:space="0" w:color="auto"/>
              <w:right w:val="outset" w:sz="6" w:space="0" w:color="auto"/>
            </w:tcBorders>
            <w:hideMark/>
          </w:tcPr>
          <w:p w14:paraId="01048C1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67F55E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E0F48F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B6E62F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76ADE0A4"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0E3AA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0071</w:t>
            </w:r>
          </w:p>
        </w:tc>
        <w:tc>
          <w:tcPr>
            <w:tcW w:w="5625" w:type="dxa"/>
            <w:tcBorders>
              <w:top w:val="outset" w:sz="6" w:space="0" w:color="auto"/>
              <w:left w:val="outset" w:sz="6" w:space="0" w:color="auto"/>
              <w:bottom w:val="outset" w:sz="6" w:space="0" w:color="auto"/>
              <w:right w:val="outset" w:sz="6" w:space="0" w:color="auto"/>
            </w:tcBorders>
            <w:hideMark/>
          </w:tcPr>
          <w:p w14:paraId="49EC062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Operațiuni de finanțare prin instrumente financiare</w:t>
            </w:r>
          </w:p>
        </w:tc>
        <w:tc>
          <w:tcPr>
            <w:tcW w:w="1135" w:type="dxa"/>
            <w:tcBorders>
              <w:top w:val="outset" w:sz="6" w:space="0" w:color="auto"/>
              <w:left w:val="outset" w:sz="6" w:space="0" w:color="auto"/>
              <w:bottom w:val="outset" w:sz="6" w:space="0" w:color="auto"/>
              <w:right w:val="outset" w:sz="6" w:space="0" w:color="auto"/>
            </w:tcBorders>
            <w:hideMark/>
          </w:tcPr>
          <w:p w14:paraId="7EB60ED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96533A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A7BD28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B477F3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0E877D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14932C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02D58A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2245297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8FF0B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0090</w:t>
            </w:r>
          </w:p>
        </w:tc>
        <w:tc>
          <w:tcPr>
            <w:tcW w:w="5625" w:type="dxa"/>
            <w:tcBorders>
              <w:top w:val="outset" w:sz="6" w:space="0" w:color="auto"/>
              <w:left w:val="outset" w:sz="6" w:space="0" w:color="auto"/>
              <w:bottom w:val="outset" w:sz="6" w:space="0" w:color="auto"/>
              <w:right w:val="outset" w:sz="6" w:space="0" w:color="auto"/>
            </w:tcBorders>
            <w:hideMark/>
          </w:tcPr>
          <w:p w14:paraId="381236C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Alte active</w:t>
            </w:r>
          </w:p>
        </w:tc>
        <w:tc>
          <w:tcPr>
            <w:tcW w:w="1135" w:type="dxa"/>
            <w:tcBorders>
              <w:top w:val="outset" w:sz="6" w:space="0" w:color="auto"/>
              <w:left w:val="outset" w:sz="6" w:space="0" w:color="auto"/>
              <w:bottom w:val="outset" w:sz="6" w:space="0" w:color="auto"/>
              <w:right w:val="outset" w:sz="6" w:space="0" w:color="auto"/>
            </w:tcBorders>
            <w:hideMark/>
          </w:tcPr>
          <w:p w14:paraId="2DCC672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59D39F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BC5EF4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3787CB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056164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1A0B34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D0A615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37CD371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53779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0095</w:t>
            </w:r>
          </w:p>
        </w:tc>
        <w:tc>
          <w:tcPr>
            <w:tcW w:w="5625" w:type="dxa"/>
            <w:tcBorders>
              <w:top w:val="outset" w:sz="6" w:space="0" w:color="auto"/>
              <w:left w:val="outset" w:sz="6" w:space="0" w:color="auto"/>
              <w:bottom w:val="outset" w:sz="6" w:space="0" w:color="auto"/>
              <w:right w:val="outset" w:sz="6" w:space="0" w:color="auto"/>
            </w:tcBorders>
            <w:hideMark/>
          </w:tcPr>
          <w:p w14:paraId="671ED34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Elemente extrabilanțiere</w:t>
            </w:r>
          </w:p>
        </w:tc>
        <w:tc>
          <w:tcPr>
            <w:tcW w:w="1135" w:type="dxa"/>
            <w:tcBorders>
              <w:top w:val="outset" w:sz="6" w:space="0" w:color="auto"/>
              <w:left w:val="outset" w:sz="6" w:space="0" w:color="auto"/>
              <w:bottom w:val="outset" w:sz="6" w:space="0" w:color="auto"/>
              <w:right w:val="outset" w:sz="6" w:space="0" w:color="auto"/>
            </w:tcBorders>
            <w:hideMark/>
          </w:tcPr>
          <w:p w14:paraId="249B862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D769E0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A9A135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3E3E61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8FDD34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C9EE7A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72955C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4E98FDB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C67DB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0210</w:t>
            </w:r>
          </w:p>
        </w:tc>
        <w:tc>
          <w:tcPr>
            <w:tcW w:w="5625" w:type="dxa"/>
            <w:tcBorders>
              <w:top w:val="outset" w:sz="6" w:space="0" w:color="auto"/>
              <w:left w:val="outset" w:sz="6" w:space="0" w:color="auto"/>
              <w:bottom w:val="outset" w:sz="6" w:space="0" w:color="auto"/>
              <w:right w:val="outset" w:sz="6" w:space="0" w:color="auto"/>
            </w:tcBorders>
            <w:hideMark/>
          </w:tcPr>
          <w:p w14:paraId="17D1969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Garanții reale sub formă de numerar primite în operațiuni cu instrumente financiare derivate</w:t>
            </w:r>
          </w:p>
        </w:tc>
        <w:tc>
          <w:tcPr>
            <w:tcW w:w="1135" w:type="dxa"/>
            <w:tcBorders>
              <w:top w:val="outset" w:sz="6" w:space="0" w:color="auto"/>
              <w:left w:val="outset" w:sz="6" w:space="0" w:color="auto"/>
              <w:bottom w:val="outset" w:sz="6" w:space="0" w:color="auto"/>
              <w:right w:val="outset" w:sz="6" w:space="0" w:color="auto"/>
            </w:tcBorders>
            <w:hideMark/>
          </w:tcPr>
          <w:p w14:paraId="5E8B192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9503E5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674554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7F8CEE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F253CC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29A144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C08F48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5557042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4A0AD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0220</w:t>
            </w:r>
          </w:p>
        </w:tc>
        <w:tc>
          <w:tcPr>
            <w:tcW w:w="5625" w:type="dxa"/>
            <w:tcBorders>
              <w:top w:val="outset" w:sz="6" w:space="0" w:color="auto"/>
              <w:left w:val="outset" w:sz="6" w:space="0" w:color="auto"/>
              <w:bottom w:val="outset" w:sz="6" w:space="0" w:color="auto"/>
              <w:right w:val="outset" w:sz="6" w:space="0" w:color="auto"/>
            </w:tcBorders>
            <w:hideMark/>
          </w:tcPr>
          <w:p w14:paraId="598E4D7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Creanțe pentru garanții reale sub formă de numerar furnizate în operațiunile cu instrumente financiare derivate</w:t>
            </w:r>
          </w:p>
        </w:tc>
        <w:tc>
          <w:tcPr>
            <w:tcW w:w="1135" w:type="dxa"/>
            <w:tcBorders>
              <w:top w:val="outset" w:sz="6" w:space="0" w:color="auto"/>
              <w:left w:val="outset" w:sz="6" w:space="0" w:color="auto"/>
              <w:bottom w:val="outset" w:sz="6" w:space="0" w:color="auto"/>
              <w:right w:val="outset" w:sz="6" w:space="0" w:color="auto"/>
            </w:tcBorders>
            <w:hideMark/>
          </w:tcPr>
          <w:p w14:paraId="433DCD8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501A57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B3539F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3FCB47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0A4BC0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ACE679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B688F8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565FED2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46813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0230</w:t>
            </w:r>
          </w:p>
        </w:tc>
        <w:tc>
          <w:tcPr>
            <w:tcW w:w="5625" w:type="dxa"/>
            <w:tcBorders>
              <w:top w:val="outset" w:sz="6" w:space="0" w:color="auto"/>
              <w:left w:val="outset" w:sz="6" w:space="0" w:color="auto"/>
              <w:bottom w:val="outset" w:sz="6" w:space="0" w:color="auto"/>
              <w:right w:val="outset" w:sz="6" w:space="0" w:color="auto"/>
            </w:tcBorders>
            <w:hideMark/>
          </w:tcPr>
          <w:p w14:paraId="59D8E8C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Titluri primite în cadrul unui SFT și recunoscute ca active</w:t>
            </w:r>
          </w:p>
        </w:tc>
        <w:tc>
          <w:tcPr>
            <w:tcW w:w="1135" w:type="dxa"/>
            <w:tcBorders>
              <w:top w:val="outset" w:sz="6" w:space="0" w:color="auto"/>
              <w:left w:val="outset" w:sz="6" w:space="0" w:color="auto"/>
              <w:bottom w:val="outset" w:sz="6" w:space="0" w:color="auto"/>
              <w:right w:val="outset" w:sz="6" w:space="0" w:color="auto"/>
            </w:tcBorders>
            <w:hideMark/>
          </w:tcPr>
          <w:p w14:paraId="716748E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2639BC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25B27F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E19C57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DB934A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526D7D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E3445A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04D38ED2"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18FB4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0240</w:t>
            </w:r>
          </w:p>
        </w:tc>
        <w:tc>
          <w:tcPr>
            <w:tcW w:w="5625" w:type="dxa"/>
            <w:tcBorders>
              <w:top w:val="outset" w:sz="6" w:space="0" w:color="auto"/>
              <w:left w:val="outset" w:sz="6" w:space="0" w:color="auto"/>
              <w:bottom w:val="outset" w:sz="6" w:space="0" w:color="auto"/>
              <w:right w:val="outset" w:sz="6" w:space="0" w:color="auto"/>
            </w:tcBorders>
            <w:hideMark/>
          </w:tcPr>
          <w:p w14:paraId="0E6DC3E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Numerar dat cu împrumut, prin intermediere, în cadrul unui SFT (creanțe în numerar)</w:t>
            </w:r>
          </w:p>
        </w:tc>
        <w:tc>
          <w:tcPr>
            <w:tcW w:w="1135" w:type="dxa"/>
            <w:tcBorders>
              <w:top w:val="outset" w:sz="6" w:space="0" w:color="auto"/>
              <w:left w:val="outset" w:sz="6" w:space="0" w:color="auto"/>
              <w:bottom w:val="outset" w:sz="6" w:space="0" w:color="auto"/>
              <w:right w:val="outset" w:sz="6" w:space="0" w:color="auto"/>
            </w:tcBorders>
            <w:hideMark/>
          </w:tcPr>
          <w:p w14:paraId="2400D28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E99509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AB4CE7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561E53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7A2CF4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BF703B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E56D91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7D5B097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1AAF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0270</w:t>
            </w:r>
          </w:p>
        </w:tc>
        <w:tc>
          <w:tcPr>
            <w:tcW w:w="5625" w:type="dxa"/>
            <w:tcBorders>
              <w:top w:val="outset" w:sz="6" w:space="0" w:color="auto"/>
              <w:left w:val="outset" w:sz="6" w:space="0" w:color="auto"/>
              <w:bottom w:val="outset" w:sz="6" w:space="0" w:color="auto"/>
              <w:right w:val="outset" w:sz="6" w:space="0" w:color="auto"/>
            </w:tcBorders>
            <w:hideMark/>
          </w:tcPr>
          <w:p w14:paraId="71D0AD2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Investiții în sectorul public – Creanțe asupra administrațiilor centrale</w:t>
            </w:r>
          </w:p>
        </w:tc>
        <w:tc>
          <w:tcPr>
            <w:tcW w:w="1135" w:type="dxa"/>
            <w:tcBorders>
              <w:top w:val="outset" w:sz="6" w:space="0" w:color="auto"/>
              <w:left w:val="outset" w:sz="6" w:space="0" w:color="auto"/>
              <w:bottom w:val="outset" w:sz="6" w:space="0" w:color="auto"/>
              <w:right w:val="outset" w:sz="6" w:space="0" w:color="auto"/>
            </w:tcBorders>
            <w:hideMark/>
          </w:tcPr>
          <w:p w14:paraId="6D904A3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537C536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399A45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84351D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9A8491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8093EA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5B5DFE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5752E4B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86F9B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0280</w:t>
            </w:r>
          </w:p>
        </w:tc>
        <w:tc>
          <w:tcPr>
            <w:tcW w:w="5625" w:type="dxa"/>
            <w:tcBorders>
              <w:top w:val="outset" w:sz="6" w:space="0" w:color="auto"/>
              <w:left w:val="outset" w:sz="6" w:space="0" w:color="auto"/>
              <w:bottom w:val="outset" w:sz="6" w:space="0" w:color="auto"/>
              <w:right w:val="outset" w:sz="6" w:space="0" w:color="auto"/>
            </w:tcBorders>
            <w:hideMark/>
          </w:tcPr>
          <w:p w14:paraId="5D25BEA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Investiții în sectorul public – Creanțe asupra administrațiilor regionale</w:t>
            </w:r>
          </w:p>
        </w:tc>
        <w:tc>
          <w:tcPr>
            <w:tcW w:w="1135" w:type="dxa"/>
            <w:tcBorders>
              <w:top w:val="outset" w:sz="6" w:space="0" w:color="auto"/>
              <w:left w:val="outset" w:sz="6" w:space="0" w:color="auto"/>
              <w:bottom w:val="outset" w:sz="6" w:space="0" w:color="auto"/>
              <w:right w:val="outset" w:sz="6" w:space="0" w:color="auto"/>
            </w:tcBorders>
            <w:hideMark/>
          </w:tcPr>
          <w:p w14:paraId="0C103E8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663C62F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5AC887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6FC6A6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C8A4F6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114EA6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A72206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7FFB4D7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1D28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0290</w:t>
            </w:r>
          </w:p>
        </w:tc>
        <w:tc>
          <w:tcPr>
            <w:tcW w:w="5625" w:type="dxa"/>
            <w:tcBorders>
              <w:top w:val="outset" w:sz="6" w:space="0" w:color="auto"/>
              <w:left w:val="outset" w:sz="6" w:space="0" w:color="auto"/>
              <w:bottom w:val="outset" w:sz="6" w:space="0" w:color="auto"/>
              <w:right w:val="outset" w:sz="6" w:space="0" w:color="auto"/>
            </w:tcBorders>
            <w:hideMark/>
          </w:tcPr>
          <w:p w14:paraId="53AC94C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Investiții în sectorul public – Creanțe asupra autorităților locale</w:t>
            </w:r>
          </w:p>
        </w:tc>
        <w:tc>
          <w:tcPr>
            <w:tcW w:w="1135" w:type="dxa"/>
            <w:tcBorders>
              <w:top w:val="outset" w:sz="6" w:space="0" w:color="auto"/>
              <w:left w:val="outset" w:sz="6" w:space="0" w:color="auto"/>
              <w:bottom w:val="outset" w:sz="6" w:space="0" w:color="auto"/>
              <w:right w:val="outset" w:sz="6" w:space="0" w:color="auto"/>
            </w:tcBorders>
            <w:hideMark/>
          </w:tcPr>
          <w:p w14:paraId="1ED3C26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CD4A5E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4EE791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BA9760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F2297C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D24A87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25EF57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17039B0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D79E6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0300</w:t>
            </w:r>
          </w:p>
        </w:tc>
        <w:tc>
          <w:tcPr>
            <w:tcW w:w="5625" w:type="dxa"/>
            <w:tcBorders>
              <w:top w:val="outset" w:sz="6" w:space="0" w:color="auto"/>
              <w:left w:val="outset" w:sz="6" w:space="0" w:color="auto"/>
              <w:bottom w:val="outset" w:sz="6" w:space="0" w:color="auto"/>
              <w:right w:val="outset" w:sz="6" w:space="0" w:color="auto"/>
            </w:tcBorders>
            <w:hideMark/>
          </w:tcPr>
          <w:p w14:paraId="78E4BD0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Investiții în sectorul public – Creanțe asupra entităților din sectorul public</w:t>
            </w:r>
          </w:p>
        </w:tc>
        <w:tc>
          <w:tcPr>
            <w:tcW w:w="1135" w:type="dxa"/>
            <w:tcBorders>
              <w:top w:val="outset" w:sz="6" w:space="0" w:color="auto"/>
              <w:left w:val="outset" w:sz="6" w:space="0" w:color="auto"/>
              <w:bottom w:val="outset" w:sz="6" w:space="0" w:color="auto"/>
              <w:right w:val="outset" w:sz="6" w:space="0" w:color="auto"/>
            </w:tcBorders>
            <w:hideMark/>
          </w:tcPr>
          <w:p w14:paraId="7A3530D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59FFDB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5D59D0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EF5712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901CE3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54FE10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47992D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108AEBF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5F094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0310</w:t>
            </w:r>
          </w:p>
        </w:tc>
        <w:tc>
          <w:tcPr>
            <w:tcW w:w="5625" w:type="dxa"/>
            <w:tcBorders>
              <w:top w:val="outset" w:sz="6" w:space="0" w:color="auto"/>
              <w:left w:val="outset" w:sz="6" w:space="0" w:color="auto"/>
              <w:bottom w:val="outset" w:sz="6" w:space="0" w:color="auto"/>
              <w:right w:val="outset" w:sz="6" w:space="0" w:color="auto"/>
            </w:tcBorders>
            <w:hideMark/>
          </w:tcPr>
          <w:p w14:paraId="58F2AE7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administrațiilor centrale</w:t>
            </w:r>
          </w:p>
        </w:tc>
        <w:tc>
          <w:tcPr>
            <w:tcW w:w="1135" w:type="dxa"/>
            <w:tcBorders>
              <w:top w:val="outset" w:sz="6" w:space="0" w:color="auto"/>
              <w:left w:val="outset" w:sz="6" w:space="0" w:color="auto"/>
              <w:bottom w:val="outset" w:sz="6" w:space="0" w:color="auto"/>
              <w:right w:val="outset" w:sz="6" w:space="0" w:color="auto"/>
            </w:tcBorders>
            <w:hideMark/>
          </w:tcPr>
          <w:p w14:paraId="711B2F3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AEF5D7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BE1B49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CDAB3B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1D2D54A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F15C7D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1A1356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1CBC619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8B2F0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0320</w:t>
            </w:r>
          </w:p>
        </w:tc>
        <w:tc>
          <w:tcPr>
            <w:tcW w:w="5625" w:type="dxa"/>
            <w:tcBorders>
              <w:top w:val="outset" w:sz="6" w:space="0" w:color="auto"/>
              <w:left w:val="outset" w:sz="6" w:space="0" w:color="auto"/>
              <w:bottom w:val="outset" w:sz="6" w:space="0" w:color="auto"/>
              <w:right w:val="outset" w:sz="6" w:space="0" w:color="auto"/>
            </w:tcBorders>
            <w:hideMark/>
          </w:tcPr>
          <w:p w14:paraId="4297361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administrațiilor regionale</w:t>
            </w:r>
          </w:p>
        </w:tc>
        <w:tc>
          <w:tcPr>
            <w:tcW w:w="1135" w:type="dxa"/>
            <w:tcBorders>
              <w:top w:val="outset" w:sz="6" w:space="0" w:color="auto"/>
              <w:left w:val="outset" w:sz="6" w:space="0" w:color="auto"/>
              <w:bottom w:val="outset" w:sz="6" w:space="0" w:color="auto"/>
              <w:right w:val="outset" w:sz="6" w:space="0" w:color="auto"/>
            </w:tcBorders>
            <w:hideMark/>
          </w:tcPr>
          <w:p w14:paraId="3E04074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3B98C5C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EE73A1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7ACF21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0D0B6A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1FAD02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E10FCB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63D23533"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F86E4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0330</w:t>
            </w:r>
          </w:p>
        </w:tc>
        <w:tc>
          <w:tcPr>
            <w:tcW w:w="5625" w:type="dxa"/>
            <w:tcBorders>
              <w:top w:val="outset" w:sz="6" w:space="0" w:color="auto"/>
              <w:left w:val="outset" w:sz="6" w:space="0" w:color="auto"/>
              <w:bottom w:val="outset" w:sz="6" w:space="0" w:color="auto"/>
              <w:right w:val="outset" w:sz="6" w:space="0" w:color="auto"/>
            </w:tcBorders>
            <w:hideMark/>
          </w:tcPr>
          <w:p w14:paraId="32AAF81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autorităților locale</w:t>
            </w:r>
          </w:p>
        </w:tc>
        <w:tc>
          <w:tcPr>
            <w:tcW w:w="1135" w:type="dxa"/>
            <w:tcBorders>
              <w:top w:val="outset" w:sz="6" w:space="0" w:color="auto"/>
              <w:left w:val="outset" w:sz="6" w:space="0" w:color="auto"/>
              <w:bottom w:val="outset" w:sz="6" w:space="0" w:color="auto"/>
              <w:right w:val="outset" w:sz="6" w:space="0" w:color="auto"/>
            </w:tcBorders>
            <w:hideMark/>
          </w:tcPr>
          <w:p w14:paraId="63FBD4C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F1EF25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144E7B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B7998E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2EC2F9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9EA5A9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EA24F8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629680D0"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24FDE3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0340</w:t>
            </w:r>
          </w:p>
        </w:tc>
        <w:tc>
          <w:tcPr>
            <w:tcW w:w="5625" w:type="dxa"/>
            <w:tcBorders>
              <w:top w:val="outset" w:sz="6" w:space="0" w:color="auto"/>
              <w:left w:val="outset" w:sz="6" w:space="0" w:color="auto"/>
              <w:bottom w:val="outset" w:sz="6" w:space="0" w:color="auto"/>
              <w:right w:val="outset" w:sz="6" w:space="0" w:color="auto"/>
            </w:tcBorders>
            <w:hideMark/>
          </w:tcPr>
          <w:p w14:paraId="1D0D958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entităților din sectorul public</w:t>
            </w:r>
          </w:p>
        </w:tc>
        <w:tc>
          <w:tcPr>
            <w:tcW w:w="1135" w:type="dxa"/>
            <w:tcBorders>
              <w:top w:val="outset" w:sz="6" w:space="0" w:color="auto"/>
              <w:left w:val="outset" w:sz="6" w:space="0" w:color="auto"/>
              <w:bottom w:val="outset" w:sz="6" w:space="0" w:color="auto"/>
              <w:right w:val="outset" w:sz="6" w:space="0" w:color="auto"/>
            </w:tcBorders>
            <w:hideMark/>
          </w:tcPr>
          <w:p w14:paraId="2D2E9E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0887BF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F08F87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630D48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A5737E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F09985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E25937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27B1D9FD"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D883D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0350</w:t>
            </w:r>
          </w:p>
        </w:tc>
        <w:tc>
          <w:tcPr>
            <w:tcW w:w="5625" w:type="dxa"/>
            <w:tcBorders>
              <w:top w:val="outset" w:sz="6" w:space="0" w:color="auto"/>
              <w:left w:val="outset" w:sz="6" w:space="0" w:color="auto"/>
              <w:bottom w:val="outset" w:sz="6" w:space="0" w:color="auto"/>
              <w:right w:val="outset" w:sz="6" w:space="0" w:color="auto"/>
            </w:tcBorders>
            <w:hideMark/>
          </w:tcPr>
          <w:p w14:paraId="074634C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societăților nefinanciare</w:t>
            </w:r>
          </w:p>
        </w:tc>
        <w:tc>
          <w:tcPr>
            <w:tcW w:w="1135" w:type="dxa"/>
            <w:tcBorders>
              <w:top w:val="outset" w:sz="6" w:space="0" w:color="auto"/>
              <w:left w:val="outset" w:sz="6" w:space="0" w:color="auto"/>
              <w:bottom w:val="outset" w:sz="6" w:space="0" w:color="auto"/>
              <w:right w:val="outset" w:sz="6" w:space="0" w:color="auto"/>
            </w:tcBorders>
            <w:hideMark/>
          </w:tcPr>
          <w:p w14:paraId="2B64A60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F42BA5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DF3FE0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4659C5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92AFC0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114B87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2F5B87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0F63AAE1"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0479F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0360</w:t>
            </w:r>
          </w:p>
        </w:tc>
        <w:tc>
          <w:tcPr>
            <w:tcW w:w="5625" w:type="dxa"/>
            <w:tcBorders>
              <w:top w:val="outset" w:sz="6" w:space="0" w:color="auto"/>
              <w:left w:val="outset" w:sz="6" w:space="0" w:color="auto"/>
              <w:bottom w:val="outset" w:sz="6" w:space="0" w:color="auto"/>
              <w:right w:val="outset" w:sz="6" w:space="0" w:color="auto"/>
            </w:tcBorders>
            <w:hideMark/>
          </w:tcPr>
          <w:p w14:paraId="5FC77B9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Creanțe asupra gospodăriilor</w:t>
            </w:r>
          </w:p>
        </w:tc>
        <w:tc>
          <w:tcPr>
            <w:tcW w:w="1135" w:type="dxa"/>
            <w:tcBorders>
              <w:top w:val="outset" w:sz="6" w:space="0" w:color="auto"/>
              <w:left w:val="outset" w:sz="6" w:space="0" w:color="auto"/>
              <w:bottom w:val="outset" w:sz="6" w:space="0" w:color="auto"/>
              <w:right w:val="outset" w:sz="6" w:space="0" w:color="auto"/>
            </w:tcBorders>
            <w:hideMark/>
          </w:tcPr>
          <w:p w14:paraId="02DCB30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7CC303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F6180D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A97F1E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227D6D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D694793"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AEBB3F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0D4DF419"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9F2A4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0370</w:t>
            </w:r>
          </w:p>
        </w:tc>
        <w:tc>
          <w:tcPr>
            <w:tcW w:w="5625" w:type="dxa"/>
            <w:tcBorders>
              <w:top w:val="outset" w:sz="6" w:space="0" w:color="auto"/>
              <w:left w:val="outset" w:sz="6" w:space="0" w:color="auto"/>
              <w:bottom w:val="outset" w:sz="6" w:space="0" w:color="auto"/>
              <w:right w:val="outset" w:sz="6" w:space="0" w:color="auto"/>
            </w:tcBorders>
            <w:hideMark/>
          </w:tcPr>
          <w:p w14:paraId="5E264DB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Credite promoționale – „Pass through”</w:t>
            </w:r>
          </w:p>
        </w:tc>
        <w:tc>
          <w:tcPr>
            <w:tcW w:w="1135" w:type="dxa"/>
            <w:tcBorders>
              <w:top w:val="outset" w:sz="6" w:space="0" w:color="auto"/>
              <w:left w:val="outset" w:sz="6" w:space="0" w:color="auto"/>
              <w:bottom w:val="outset" w:sz="6" w:space="0" w:color="auto"/>
              <w:right w:val="outset" w:sz="6" w:space="0" w:color="auto"/>
            </w:tcBorders>
            <w:hideMark/>
          </w:tcPr>
          <w:p w14:paraId="7E7F866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X</w:t>
            </w:r>
          </w:p>
        </w:tc>
        <w:tc>
          <w:tcPr>
            <w:tcW w:w="0" w:type="auto"/>
            <w:tcBorders>
              <w:top w:val="outset" w:sz="6" w:space="0" w:color="auto"/>
              <w:left w:val="outset" w:sz="6" w:space="0" w:color="auto"/>
              <w:bottom w:val="outset" w:sz="6" w:space="0" w:color="auto"/>
              <w:right w:val="outset" w:sz="6" w:space="0" w:color="auto"/>
            </w:tcBorders>
            <w:hideMark/>
          </w:tcPr>
          <w:p w14:paraId="7D53BDA2"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09EF44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D0D139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9B5679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F54D11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3E758F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39531CF8"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9A253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0380</w:t>
            </w:r>
          </w:p>
        </w:tc>
        <w:tc>
          <w:tcPr>
            <w:tcW w:w="5625" w:type="dxa"/>
            <w:tcBorders>
              <w:top w:val="outset" w:sz="6" w:space="0" w:color="auto"/>
              <w:left w:val="outset" w:sz="6" w:space="0" w:color="auto"/>
              <w:bottom w:val="outset" w:sz="6" w:space="0" w:color="auto"/>
              <w:right w:val="outset" w:sz="6" w:space="0" w:color="auto"/>
            </w:tcBorders>
            <w:hideMark/>
          </w:tcPr>
          <w:p w14:paraId="6E93A445" w14:textId="06D3AFD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Expuneri față de banca centrală</w:t>
            </w:r>
          </w:p>
        </w:tc>
        <w:tc>
          <w:tcPr>
            <w:tcW w:w="1135" w:type="dxa"/>
            <w:tcBorders>
              <w:top w:val="outset" w:sz="6" w:space="0" w:color="auto"/>
              <w:left w:val="outset" w:sz="6" w:space="0" w:color="auto"/>
              <w:bottom w:val="outset" w:sz="6" w:space="0" w:color="auto"/>
              <w:right w:val="outset" w:sz="6" w:space="0" w:color="auto"/>
            </w:tcBorders>
            <w:hideMark/>
          </w:tcPr>
          <w:p w14:paraId="3111E8B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p>
        </w:tc>
        <w:tc>
          <w:tcPr>
            <w:tcW w:w="0" w:type="auto"/>
            <w:tcBorders>
              <w:top w:val="outset" w:sz="6" w:space="0" w:color="auto"/>
              <w:left w:val="outset" w:sz="6" w:space="0" w:color="auto"/>
              <w:bottom w:val="outset" w:sz="6" w:space="0" w:color="auto"/>
              <w:right w:val="outset" w:sz="6" w:space="0" w:color="auto"/>
            </w:tcBorders>
            <w:hideMark/>
          </w:tcPr>
          <w:p w14:paraId="1719E32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72B9F10"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F82117D"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BE5B8BB"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6ECD35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674C91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6D7A45" w:rsidRPr="000F57AA" w14:paraId="2EC4C487"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8B36FA"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0390</w:t>
            </w:r>
          </w:p>
        </w:tc>
        <w:tc>
          <w:tcPr>
            <w:tcW w:w="5625" w:type="dxa"/>
            <w:tcBorders>
              <w:top w:val="outset" w:sz="6" w:space="0" w:color="auto"/>
              <w:left w:val="outset" w:sz="6" w:space="0" w:color="auto"/>
              <w:bottom w:val="outset" w:sz="6" w:space="0" w:color="auto"/>
              <w:right w:val="outset" w:sz="6" w:space="0" w:color="auto"/>
            </w:tcBorders>
            <w:hideMark/>
          </w:tcPr>
          <w:p w14:paraId="2BC8E95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Valoarea expunerilor față de banca centrală utilizată pentru calcularea cerinței privind indicatorul efectului de levier ajustat prevăzute la pct.23 din Regulamentul nr.XX/2025 – Cuantumul expunerii pentru calcularea indicatorului efectului de levier</w:t>
            </w:r>
          </w:p>
        </w:tc>
        <w:tc>
          <w:tcPr>
            <w:tcW w:w="1135" w:type="dxa"/>
            <w:tcBorders>
              <w:top w:val="outset" w:sz="6" w:space="0" w:color="auto"/>
              <w:left w:val="outset" w:sz="6" w:space="0" w:color="auto"/>
              <w:bottom w:val="outset" w:sz="6" w:space="0" w:color="auto"/>
              <w:right w:val="outset" w:sz="6" w:space="0" w:color="auto"/>
            </w:tcBorders>
            <w:hideMark/>
          </w:tcPr>
          <w:p w14:paraId="55AC843F"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65A565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2AEAE8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2696A78"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126751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B675BC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738F2B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6D7A45" w:rsidRPr="000F57AA" w14:paraId="7669887C"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B44BA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0400</w:t>
            </w:r>
          </w:p>
        </w:tc>
        <w:tc>
          <w:tcPr>
            <w:tcW w:w="5625" w:type="dxa"/>
            <w:tcBorders>
              <w:top w:val="outset" w:sz="6" w:space="0" w:color="auto"/>
              <w:left w:val="outset" w:sz="6" w:space="0" w:color="auto"/>
              <w:bottom w:val="outset" w:sz="6" w:space="0" w:color="auto"/>
              <w:right w:val="outset" w:sz="6" w:space="0" w:color="auto"/>
            </w:tcBorders>
            <w:hideMark/>
          </w:tcPr>
          <w:p w14:paraId="18C732F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Indicatorul de măsurare a expunerii utilizat pentru calcularea indicatorului efectului de levier utilizat pentru calcularea cerinței privind indicatorul efectului de levier ajustat prevăzute la pct.23 din Regulamentul nr.XX/2025 – Cuantumul expunerii pentru calcularea indicatorului efectului de levier</w:t>
            </w:r>
          </w:p>
        </w:tc>
        <w:tc>
          <w:tcPr>
            <w:tcW w:w="1135" w:type="dxa"/>
            <w:tcBorders>
              <w:top w:val="outset" w:sz="6" w:space="0" w:color="auto"/>
              <w:left w:val="outset" w:sz="6" w:space="0" w:color="auto"/>
              <w:bottom w:val="outset" w:sz="6" w:space="0" w:color="auto"/>
              <w:right w:val="outset" w:sz="6" w:space="0" w:color="auto"/>
            </w:tcBorders>
            <w:hideMark/>
          </w:tcPr>
          <w:p w14:paraId="2CFBEE4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7F0CF8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C55DDDC"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52D11C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D0F8C0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87BE419"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3EA812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6D7A45" w:rsidRPr="000F57AA" w14:paraId="6A9DAC06" w14:textId="77777777" w:rsidTr="00DC56A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A5FCA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0410</w:t>
            </w:r>
          </w:p>
        </w:tc>
        <w:tc>
          <w:tcPr>
            <w:tcW w:w="5625" w:type="dxa"/>
            <w:tcBorders>
              <w:top w:val="outset" w:sz="6" w:space="0" w:color="auto"/>
              <w:left w:val="outset" w:sz="6" w:space="0" w:color="auto"/>
              <w:bottom w:val="outset" w:sz="6" w:space="0" w:color="auto"/>
              <w:right w:val="outset" w:sz="6" w:space="0" w:color="auto"/>
            </w:tcBorders>
            <w:hideMark/>
          </w:tcPr>
          <w:p w14:paraId="7FDA530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Total active</w:t>
            </w:r>
          </w:p>
        </w:tc>
        <w:tc>
          <w:tcPr>
            <w:tcW w:w="1135" w:type="dxa"/>
            <w:tcBorders>
              <w:top w:val="outset" w:sz="6" w:space="0" w:color="auto"/>
              <w:left w:val="outset" w:sz="6" w:space="0" w:color="auto"/>
              <w:bottom w:val="outset" w:sz="6" w:space="0" w:color="auto"/>
              <w:right w:val="outset" w:sz="6" w:space="0" w:color="auto"/>
            </w:tcBorders>
            <w:hideMark/>
          </w:tcPr>
          <w:p w14:paraId="75B034DE"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3E91646"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0082504"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380DD0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1AC0F77"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0DA0B71"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7F5C545" w14:textId="77777777" w:rsidR="006D7A45" w:rsidRPr="000F57AA" w:rsidRDefault="006D7A45" w:rsidP="006D7A45">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bl>
    <w:p w14:paraId="3DDD58B7" w14:textId="77777777" w:rsidR="006D7A45" w:rsidRPr="000F57AA" w:rsidRDefault="006D7A45" w:rsidP="006D7A45">
      <w:pPr>
        <w:rPr>
          <w:kern w:val="2"/>
          <w:lang w:val="ro-RO"/>
          <w14:ligatures w14:val="standardContextual"/>
        </w:rPr>
      </w:pPr>
    </w:p>
    <w:p w14:paraId="734F2DD4" w14:textId="77777777" w:rsidR="00D87000" w:rsidRPr="000F57AA" w:rsidRDefault="00D87000" w:rsidP="00116A77">
      <w:pPr>
        <w:spacing w:after="0"/>
        <w:ind w:firstLine="708"/>
        <w:rPr>
          <w:rFonts w:ascii="Times New Roman" w:eastAsia="Times New Roman" w:hAnsi="Times New Roman" w:cs="Times New Roman"/>
          <w:lang w:val="ro-RO"/>
        </w:rPr>
        <w:sectPr w:rsidR="00D87000" w:rsidRPr="000F57AA" w:rsidSect="00D87000">
          <w:pgSz w:w="16838" w:h="11906" w:orient="landscape"/>
          <w:pgMar w:top="1418" w:right="1134" w:bottom="851" w:left="1134" w:header="709" w:footer="709" w:gutter="0"/>
          <w:cols w:space="708"/>
          <w:docGrid w:linePitch="360"/>
        </w:sectPr>
      </w:pPr>
    </w:p>
    <w:p w14:paraId="288D218B" w14:textId="77777777" w:rsidR="00A90158" w:rsidRPr="000F57AA" w:rsidRDefault="00A90158" w:rsidP="00A90158">
      <w:pPr>
        <w:spacing w:after="0"/>
        <w:ind w:firstLine="708"/>
        <w:jc w:val="center"/>
        <w:rPr>
          <w:rFonts w:ascii="Times New Roman" w:eastAsia="Times New Roman" w:hAnsi="Times New Roman" w:cs="Times New Roman"/>
          <w:b/>
          <w:bCs/>
          <w:lang w:val="ro-RO"/>
        </w:rPr>
      </w:pPr>
      <w:bookmarkStart w:id="9" w:name="_Hlk192595844"/>
      <w:r w:rsidRPr="000F57AA">
        <w:rPr>
          <w:rFonts w:ascii="Times New Roman" w:eastAsia="Times New Roman" w:hAnsi="Times New Roman" w:cs="Times New Roman"/>
          <w:b/>
          <w:bCs/>
          <w:lang w:val="ro-RO"/>
        </w:rPr>
        <w:lastRenderedPageBreak/>
        <w:t>Modul de completare a raportului</w:t>
      </w:r>
    </w:p>
    <w:p w14:paraId="494C8CD7" w14:textId="57B6EABD" w:rsidR="00A90158" w:rsidRPr="000F57AA" w:rsidRDefault="00A90158" w:rsidP="00A9015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 40.00 – Tratamentul alternativ al indicatorului de măsurare a expunerii (LR1)</w:t>
      </w:r>
    </w:p>
    <w:p w14:paraId="18C3E88D" w14:textId="77777777" w:rsidR="00A90158" w:rsidRPr="000F57AA" w:rsidRDefault="00A90158" w:rsidP="00A9015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Instrucţiuni pentru anumite poziţii</w:t>
      </w:r>
    </w:p>
    <w:bookmarkEnd w:id="9"/>
    <w:p w14:paraId="38704BEA" w14:textId="77777777" w:rsidR="00CD7708" w:rsidRPr="000F57AA" w:rsidRDefault="00CD7708" w:rsidP="00116A77">
      <w:pPr>
        <w:spacing w:after="0"/>
        <w:ind w:firstLine="708"/>
        <w:rPr>
          <w:rFonts w:ascii="Times New Roman" w:eastAsia="Times New Roman" w:hAnsi="Times New Roman" w:cs="Times New Roman"/>
          <w:lang w:val="ro-RO"/>
        </w:rPr>
      </w:pPr>
    </w:p>
    <w:tbl>
      <w:tblPr>
        <w:tblStyle w:val="TableGrid1"/>
        <w:tblW w:w="9634" w:type="dxa"/>
        <w:tblLayout w:type="fixed"/>
        <w:tblLook w:val="04A0" w:firstRow="1" w:lastRow="0" w:firstColumn="1" w:lastColumn="0" w:noHBand="0" w:noVBand="1"/>
      </w:tblPr>
      <w:tblGrid>
        <w:gridCol w:w="1129"/>
        <w:gridCol w:w="7230"/>
        <w:gridCol w:w="1275"/>
      </w:tblGrid>
      <w:tr w:rsidR="00CD7708" w:rsidRPr="000F57AA" w14:paraId="3EED5410" w14:textId="77777777" w:rsidTr="0077559D">
        <w:trPr>
          <w:trHeight w:val="107"/>
        </w:trPr>
        <w:tc>
          <w:tcPr>
            <w:tcW w:w="1129" w:type="dxa"/>
            <w:shd w:val="clear" w:color="auto" w:fill="E7E6E6" w:themeFill="background2"/>
          </w:tcPr>
          <w:p w14:paraId="6751CD56" w14:textId="77777777" w:rsidR="00CD7708" w:rsidRPr="000F57AA" w:rsidRDefault="00CD7708" w:rsidP="00CD7708">
            <w:pPr>
              <w:ind w:right="90"/>
              <w:rPr>
                <w:sz w:val="22"/>
                <w:szCs w:val="22"/>
                <w:lang w:val="ro-RO" w:eastAsia="ru-RU"/>
                <w14:ligatures w14:val="standardContextual"/>
              </w:rPr>
            </w:pPr>
            <w:r w:rsidRPr="000F57AA">
              <w:rPr>
                <w:sz w:val="22"/>
                <w:szCs w:val="22"/>
                <w:lang w:val="ro-RO" w:eastAsia="ru-RU"/>
                <w14:ligatures w14:val="standardContextual"/>
              </w:rPr>
              <w:t>Rând și coloană</w:t>
            </w:r>
          </w:p>
        </w:tc>
        <w:tc>
          <w:tcPr>
            <w:tcW w:w="8505" w:type="dxa"/>
            <w:gridSpan w:val="2"/>
            <w:shd w:val="clear" w:color="auto" w:fill="E7E6E6" w:themeFill="background2"/>
          </w:tcPr>
          <w:p w14:paraId="483F4956" w14:textId="77777777" w:rsidR="00CD7708" w:rsidRPr="000F57AA" w:rsidRDefault="00CD7708" w:rsidP="00CD7708">
            <w:pPr>
              <w:ind w:right="90"/>
              <w:rPr>
                <w:sz w:val="22"/>
                <w:szCs w:val="22"/>
                <w:lang w:val="ro-RO" w:eastAsia="ru-RU"/>
                <w14:ligatures w14:val="standardContextual"/>
              </w:rPr>
            </w:pPr>
            <w:r w:rsidRPr="000F57AA">
              <w:rPr>
                <w:sz w:val="22"/>
                <w:szCs w:val="22"/>
                <w:lang w:val="ro-RO" w:eastAsia="ru-RU"/>
                <w14:ligatures w14:val="standardContextual"/>
              </w:rPr>
              <w:t>Referinţe juridice și instrucţiuni</w:t>
            </w:r>
          </w:p>
        </w:tc>
      </w:tr>
      <w:tr w:rsidR="00CD7708" w:rsidRPr="000F57AA" w14:paraId="71879D66" w14:textId="77777777" w:rsidTr="0077559D">
        <w:trPr>
          <w:trHeight w:val="161"/>
        </w:trPr>
        <w:tc>
          <w:tcPr>
            <w:tcW w:w="1129" w:type="dxa"/>
          </w:tcPr>
          <w:p w14:paraId="31BED244" w14:textId="77777777" w:rsidR="00CD7708" w:rsidRPr="000F57AA" w:rsidRDefault="00CD7708" w:rsidP="00CD7708">
            <w:pPr>
              <w:ind w:right="90"/>
              <w:rPr>
                <w:sz w:val="22"/>
                <w:szCs w:val="22"/>
                <w:lang w:val="ro-RO" w:eastAsia="ru-RU"/>
                <w14:ligatures w14:val="standardContextual"/>
              </w:rPr>
            </w:pPr>
            <w:r w:rsidRPr="000F57AA">
              <w:rPr>
                <w:sz w:val="22"/>
                <w:szCs w:val="22"/>
                <w:lang w:val="ro-RO" w:eastAsia="ru-RU"/>
                <w14:ligatures w14:val="standardContextual"/>
              </w:rPr>
              <w:t>{0010;0010}</w:t>
            </w:r>
          </w:p>
        </w:tc>
        <w:tc>
          <w:tcPr>
            <w:tcW w:w="8505" w:type="dxa"/>
            <w:gridSpan w:val="2"/>
          </w:tcPr>
          <w:p w14:paraId="00953620" w14:textId="77777777" w:rsidR="00CD7708" w:rsidRPr="000F57AA" w:rsidRDefault="00CD7708" w:rsidP="00CD7708">
            <w:pPr>
              <w:ind w:right="90" w:firstLine="530"/>
              <w:rPr>
                <w:b/>
                <w:bCs/>
                <w:sz w:val="22"/>
                <w:szCs w:val="22"/>
                <w:lang w:val="ro-RO" w:eastAsia="ru-RU"/>
                <w14:ligatures w14:val="standardContextual"/>
              </w:rPr>
            </w:pPr>
            <w:r w:rsidRPr="000F57AA">
              <w:rPr>
                <w:b/>
                <w:bCs/>
                <w:sz w:val="22"/>
                <w:szCs w:val="22"/>
                <w:lang w:val="ro-RO" w:eastAsia="ru-RU"/>
                <w14:ligatures w14:val="standardContextual"/>
              </w:rPr>
              <w:t xml:space="preserve">Instrumente financiare derivate – Valoarea contabilă din bilanţ </w:t>
            </w:r>
          </w:p>
          <w:p w14:paraId="774A1EAC" w14:textId="5D972B14" w:rsidR="00CD7708" w:rsidRPr="000F57AA" w:rsidRDefault="000F57AA" w:rsidP="00CD7708">
            <w:pPr>
              <w:ind w:right="90"/>
              <w:rPr>
                <w:sz w:val="22"/>
                <w:szCs w:val="22"/>
                <w:lang w:val="ro-RO" w:eastAsia="ru-RU"/>
                <w14:ligatures w14:val="standardContextual"/>
              </w:rPr>
            </w:pPr>
            <w:r w:rsidRPr="000F57AA">
              <w:rPr>
                <w:sz w:val="22"/>
                <w:szCs w:val="22"/>
                <w:lang w:val="ro-RO" w:eastAsia="ru-RU"/>
                <w14:ligatures w14:val="standardContextual"/>
              </w:rPr>
              <w:t xml:space="preserve">          </w:t>
            </w:r>
            <w:r w:rsidR="00CD7708" w:rsidRPr="000F57AA">
              <w:rPr>
                <w:sz w:val="22"/>
                <w:szCs w:val="22"/>
                <w:lang w:val="ro-RO" w:eastAsia="ru-RU"/>
                <w14:ligatures w14:val="standardContextual"/>
              </w:rPr>
              <w:t>Suma celulelor {0020;010}, {0050;0010} și {0060;0010}.</w:t>
            </w:r>
          </w:p>
        </w:tc>
      </w:tr>
      <w:tr w:rsidR="00CD7708" w:rsidRPr="000F57AA" w14:paraId="242E0F80" w14:textId="77777777" w:rsidTr="0077559D">
        <w:trPr>
          <w:trHeight w:val="161"/>
        </w:trPr>
        <w:tc>
          <w:tcPr>
            <w:tcW w:w="1129" w:type="dxa"/>
          </w:tcPr>
          <w:p w14:paraId="3BEC7C1D" w14:textId="747807A8" w:rsidR="00CD7708" w:rsidRPr="000F57AA" w:rsidRDefault="00CD7708" w:rsidP="00CD7708">
            <w:pPr>
              <w:ind w:right="90"/>
              <w:rPr>
                <w:sz w:val="22"/>
                <w:szCs w:val="22"/>
                <w:lang w:val="ro-RO" w:eastAsia="ru-RU"/>
                <w14:ligatures w14:val="standardContextual"/>
              </w:rPr>
            </w:pPr>
            <w:r w:rsidRPr="000F57AA">
              <w:rPr>
                <w:sz w:val="22"/>
                <w:szCs w:val="22"/>
                <w:lang w:val="ro-RO"/>
              </w:rPr>
              <w:t>{0010;0020}</w:t>
            </w:r>
          </w:p>
        </w:tc>
        <w:tc>
          <w:tcPr>
            <w:tcW w:w="8505" w:type="dxa"/>
            <w:gridSpan w:val="2"/>
          </w:tcPr>
          <w:p w14:paraId="3BCAA6DA" w14:textId="4A150F29" w:rsidR="00CD7708" w:rsidRPr="000F57AA" w:rsidRDefault="00FA1A79" w:rsidP="00FA1A79">
            <w:pPr>
              <w:ind w:right="90"/>
              <w:rPr>
                <w:b/>
                <w:bCs/>
                <w:sz w:val="22"/>
                <w:szCs w:val="22"/>
                <w:lang w:val="ro-RO"/>
              </w:rPr>
            </w:pPr>
            <w:r w:rsidRPr="000F57AA">
              <w:rPr>
                <w:b/>
                <w:bCs/>
                <w:sz w:val="22"/>
                <w:szCs w:val="22"/>
                <w:lang w:val="ro-RO"/>
              </w:rPr>
              <w:t xml:space="preserve">          </w:t>
            </w:r>
            <w:r w:rsidR="00CD7708" w:rsidRPr="000F57AA">
              <w:rPr>
                <w:b/>
                <w:bCs/>
                <w:sz w:val="22"/>
                <w:szCs w:val="22"/>
                <w:lang w:val="ro-RO"/>
              </w:rPr>
              <w:t xml:space="preserve">Instrumente financiare derivate – Valoarea contabilă presupunând că nu se recurge la compensare sau la altă tehnică CRM </w:t>
            </w:r>
          </w:p>
          <w:p w14:paraId="7A62323C" w14:textId="686FC58C"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Suma celulelor {0020;0020}, {0050;0020} și {0060;0020}.</w:t>
            </w:r>
          </w:p>
        </w:tc>
      </w:tr>
      <w:tr w:rsidR="00CD7708" w:rsidRPr="00A05A6A" w14:paraId="76D78698" w14:textId="77777777" w:rsidTr="0077559D">
        <w:trPr>
          <w:trHeight w:val="161"/>
        </w:trPr>
        <w:tc>
          <w:tcPr>
            <w:tcW w:w="1129" w:type="dxa"/>
          </w:tcPr>
          <w:p w14:paraId="5BD9914B" w14:textId="44ABBBBA" w:rsidR="00CD7708" w:rsidRPr="000F57AA" w:rsidRDefault="00CD7708" w:rsidP="00CD7708">
            <w:pPr>
              <w:ind w:right="90"/>
              <w:rPr>
                <w:sz w:val="22"/>
                <w:szCs w:val="22"/>
                <w:lang w:val="ro-RO" w:eastAsia="ru-RU"/>
                <w14:ligatures w14:val="standardContextual"/>
              </w:rPr>
            </w:pPr>
            <w:r w:rsidRPr="000F57AA">
              <w:rPr>
                <w:sz w:val="22"/>
                <w:szCs w:val="22"/>
                <w:lang w:val="ro-RO"/>
              </w:rPr>
              <w:t>{0010;0070}</w:t>
            </w:r>
          </w:p>
        </w:tc>
        <w:tc>
          <w:tcPr>
            <w:tcW w:w="8505" w:type="dxa"/>
            <w:gridSpan w:val="2"/>
          </w:tcPr>
          <w:p w14:paraId="44A7DD09" w14:textId="0B4D9EBF" w:rsidR="00CD7708" w:rsidRPr="000F57AA" w:rsidRDefault="00CD7708" w:rsidP="00CD7708">
            <w:pPr>
              <w:ind w:right="90" w:firstLine="530"/>
              <w:rPr>
                <w:b/>
                <w:bCs/>
                <w:sz w:val="22"/>
                <w:szCs w:val="22"/>
                <w:lang w:val="ro-RO" w:eastAsia="ru-RU"/>
                <w14:ligatures w14:val="standardContextual"/>
              </w:rPr>
            </w:pPr>
            <w:r w:rsidRPr="000F57AA">
              <w:rPr>
                <w:b/>
                <w:bCs/>
                <w:sz w:val="22"/>
                <w:szCs w:val="22"/>
                <w:lang w:val="ro-RO"/>
              </w:rPr>
              <w:t>Instrumente financiare derivate – Cuantumul noţional</w:t>
            </w:r>
            <w:r w:rsidRPr="000F57AA">
              <w:rPr>
                <w:sz w:val="22"/>
                <w:szCs w:val="22"/>
                <w:lang w:val="ro-RO"/>
              </w:rPr>
              <w:t xml:space="preserve"> Suma celulelor {0020;0070}, {0050;0070} și {0060;0070}.</w:t>
            </w:r>
          </w:p>
        </w:tc>
      </w:tr>
      <w:tr w:rsidR="00CD7708" w:rsidRPr="00A05A6A" w14:paraId="378BA23C" w14:textId="77777777" w:rsidTr="0077559D">
        <w:trPr>
          <w:trHeight w:val="161"/>
        </w:trPr>
        <w:tc>
          <w:tcPr>
            <w:tcW w:w="1129" w:type="dxa"/>
          </w:tcPr>
          <w:p w14:paraId="6A2E2446" w14:textId="4E32981F" w:rsidR="00CD7708" w:rsidRPr="000F57AA" w:rsidRDefault="00CD7708" w:rsidP="00CD7708">
            <w:pPr>
              <w:ind w:right="90"/>
              <w:rPr>
                <w:sz w:val="22"/>
                <w:szCs w:val="22"/>
                <w:lang w:val="ro-RO" w:eastAsia="ru-RU"/>
                <w14:ligatures w14:val="standardContextual"/>
              </w:rPr>
            </w:pPr>
            <w:r w:rsidRPr="000F57AA">
              <w:rPr>
                <w:sz w:val="22"/>
                <w:szCs w:val="22"/>
                <w:lang w:val="ro-RO"/>
              </w:rPr>
              <w:t>{0020;0010}</w:t>
            </w:r>
          </w:p>
        </w:tc>
        <w:tc>
          <w:tcPr>
            <w:tcW w:w="8505" w:type="dxa"/>
            <w:gridSpan w:val="2"/>
          </w:tcPr>
          <w:p w14:paraId="0602B156" w14:textId="77777777" w:rsidR="00CD7708" w:rsidRPr="000F57AA" w:rsidRDefault="00CD7708" w:rsidP="00FA1A79">
            <w:pPr>
              <w:ind w:right="90" w:firstLine="598"/>
              <w:rPr>
                <w:b/>
                <w:bCs/>
                <w:sz w:val="22"/>
                <w:szCs w:val="22"/>
                <w:lang w:val="ro-RO"/>
              </w:rPr>
            </w:pPr>
            <w:r w:rsidRPr="000F57AA">
              <w:rPr>
                <w:b/>
                <w:bCs/>
                <w:sz w:val="22"/>
                <w:szCs w:val="22"/>
                <w:lang w:val="ro-RO"/>
              </w:rPr>
              <w:t xml:space="preserve">Instrumente financiare derivate de credit (protecţie vândută) – Valoarea contabilă din bilanţ </w:t>
            </w:r>
          </w:p>
          <w:p w14:paraId="07328100" w14:textId="3059F314"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Cadrul contabil IFRS; valoarea contabilă din bilanţ, conform cadrului contabil IFRS, a instrumentelor financiare derivate de credit, în cazul în care banca vinde protecţie de credit unei contrapărţi și contractul este recunoscut în bilanţ ca activ.</w:t>
            </w:r>
          </w:p>
        </w:tc>
      </w:tr>
      <w:tr w:rsidR="00CD7708" w:rsidRPr="00A05A6A" w14:paraId="7EB4B712" w14:textId="77777777" w:rsidTr="0077559D">
        <w:trPr>
          <w:trHeight w:val="161"/>
        </w:trPr>
        <w:tc>
          <w:tcPr>
            <w:tcW w:w="1129" w:type="dxa"/>
          </w:tcPr>
          <w:p w14:paraId="4EFA9E0A" w14:textId="18619079" w:rsidR="00CD7708" w:rsidRPr="000F57AA" w:rsidRDefault="00CD7708" w:rsidP="00CD7708">
            <w:pPr>
              <w:ind w:right="90"/>
              <w:rPr>
                <w:sz w:val="22"/>
                <w:szCs w:val="22"/>
                <w:lang w:val="ro-RO" w:eastAsia="ru-RU"/>
                <w14:ligatures w14:val="standardContextual"/>
              </w:rPr>
            </w:pPr>
            <w:r w:rsidRPr="000F57AA">
              <w:rPr>
                <w:sz w:val="22"/>
                <w:szCs w:val="22"/>
                <w:lang w:val="ro-RO"/>
              </w:rPr>
              <w:t>{0020;0020}</w:t>
            </w:r>
          </w:p>
        </w:tc>
        <w:tc>
          <w:tcPr>
            <w:tcW w:w="8505" w:type="dxa"/>
            <w:gridSpan w:val="2"/>
          </w:tcPr>
          <w:p w14:paraId="71F0262E" w14:textId="77777777" w:rsidR="00CD7708" w:rsidRPr="000F57AA" w:rsidRDefault="00CD7708" w:rsidP="00FA1A79">
            <w:pPr>
              <w:ind w:right="90" w:firstLine="598"/>
              <w:rPr>
                <w:b/>
                <w:bCs/>
                <w:sz w:val="22"/>
                <w:szCs w:val="22"/>
                <w:lang w:val="ro-RO"/>
              </w:rPr>
            </w:pPr>
            <w:r w:rsidRPr="000F57AA">
              <w:rPr>
                <w:b/>
                <w:bCs/>
                <w:sz w:val="22"/>
                <w:szCs w:val="22"/>
                <w:lang w:val="ro-RO"/>
              </w:rPr>
              <w:t xml:space="preserve">Instrumente financiare derivate de credit (protecţie vândută) – Valoarea contabilă presupunând că nu se recurge la compensare sau la altă tehnică CRM </w:t>
            </w:r>
          </w:p>
          <w:p w14:paraId="7F8DD1C0" w14:textId="42F01A40"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Cadrul contabil IFRS; valoarea contabilă din bilanţ, conform cadrului contabil IFRS, a instrumentelor financiare derivate de credit, în cazul în care banca vinde protecţie de credit unei contrapărţi și contractul este recunoscut în bilanţ ca activ, presupunând că nu există efecte ale compensării prudenţiale sau contabile ori alte efecte ale CRM (se reiau eventualele efecte ale compensării contabile sau ale CRM care s-au răsfrânt asupra valorii contabile).</w:t>
            </w:r>
          </w:p>
        </w:tc>
      </w:tr>
      <w:tr w:rsidR="00CD7708" w:rsidRPr="000F57AA" w14:paraId="00B599BC" w14:textId="77777777" w:rsidTr="0077559D">
        <w:trPr>
          <w:trHeight w:val="161"/>
        </w:trPr>
        <w:tc>
          <w:tcPr>
            <w:tcW w:w="1129" w:type="dxa"/>
          </w:tcPr>
          <w:p w14:paraId="7C94493E" w14:textId="1CBDFCBD" w:rsidR="00CD7708" w:rsidRPr="000F57AA" w:rsidRDefault="00CD7708" w:rsidP="00CD7708">
            <w:pPr>
              <w:ind w:right="90"/>
              <w:rPr>
                <w:sz w:val="22"/>
                <w:szCs w:val="22"/>
                <w:lang w:val="ro-RO" w:eastAsia="ru-RU"/>
                <w14:ligatures w14:val="standardContextual"/>
              </w:rPr>
            </w:pPr>
            <w:r w:rsidRPr="000F57AA">
              <w:rPr>
                <w:sz w:val="22"/>
                <w:szCs w:val="22"/>
                <w:lang w:val="ro-RO"/>
              </w:rPr>
              <w:t>{0020;0070}</w:t>
            </w:r>
          </w:p>
        </w:tc>
        <w:tc>
          <w:tcPr>
            <w:tcW w:w="8505" w:type="dxa"/>
            <w:gridSpan w:val="2"/>
          </w:tcPr>
          <w:p w14:paraId="459036DB" w14:textId="77777777" w:rsidR="00FA1A79" w:rsidRPr="000F57AA" w:rsidRDefault="00CD7708" w:rsidP="00CD7708">
            <w:pPr>
              <w:ind w:right="90" w:firstLine="530"/>
              <w:rPr>
                <w:b/>
                <w:bCs/>
                <w:sz w:val="22"/>
                <w:szCs w:val="22"/>
                <w:lang w:val="ro-RO"/>
              </w:rPr>
            </w:pPr>
            <w:r w:rsidRPr="000F57AA">
              <w:rPr>
                <w:b/>
                <w:bCs/>
                <w:sz w:val="22"/>
                <w:szCs w:val="22"/>
                <w:lang w:val="ro-RO"/>
              </w:rPr>
              <w:t xml:space="preserve">Instrumente financiare derivate de credit (protecţie vândută) – Cuantumul noţional </w:t>
            </w:r>
          </w:p>
          <w:p w14:paraId="5FCAC35C" w14:textId="4C070D26"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Suma celulelor {0030;0070} și {0040;0070}.</w:t>
            </w:r>
          </w:p>
        </w:tc>
      </w:tr>
      <w:tr w:rsidR="00CD7708" w:rsidRPr="00A05A6A" w14:paraId="178C6703" w14:textId="77777777" w:rsidTr="0077559D">
        <w:trPr>
          <w:trHeight w:val="161"/>
        </w:trPr>
        <w:tc>
          <w:tcPr>
            <w:tcW w:w="1129" w:type="dxa"/>
          </w:tcPr>
          <w:p w14:paraId="73A99788" w14:textId="724CFA08" w:rsidR="00CD7708" w:rsidRPr="000F57AA" w:rsidRDefault="00CD7708" w:rsidP="00CD7708">
            <w:pPr>
              <w:ind w:right="90"/>
              <w:rPr>
                <w:sz w:val="22"/>
                <w:szCs w:val="22"/>
                <w:lang w:val="ro-RO" w:eastAsia="ru-RU"/>
                <w14:ligatures w14:val="standardContextual"/>
              </w:rPr>
            </w:pPr>
            <w:r w:rsidRPr="000F57AA">
              <w:rPr>
                <w:sz w:val="22"/>
                <w:szCs w:val="22"/>
                <w:lang w:val="ro-RO"/>
              </w:rPr>
              <w:t>{0020;0075}</w:t>
            </w:r>
          </w:p>
        </w:tc>
        <w:tc>
          <w:tcPr>
            <w:tcW w:w="8505" w:type="dxa"/>
            <w:gridSpan w:val="2"/>
          </w:tcPr>
          <w:p w14:paraId="0E210590" w14:textId="77777777" w:rsidR="00CD7708" w:rsidRPr="000F57AA" w:rsidRDefault="00CD7708" w:rsidP="00CD7708">
            <w:pPr>
              <w:ind w:right="90"/>
              <w:rPr>
                <w:b/>
                <w:bCs/>
                <w:sz w:val="22"/>
                <w:szCs w:val="22"/>
                <w:lang w:val="ro-RO"/>
              </w:rPr>
            </w:pPr>
            <w:r w:rsidRPr="000F57AA">
              <w:rPr>
                <w:b/>
                <w:bCs/>
                <w:sz w:val="22"/>
                <w:szCs w:val="22"/>
                <w:lang w:val="ro-RO"/>
              </w:rPr>
              <w:t xml:space="preserve">Instrumente financiare derivate de credit (protecţie vândută) – Cuantumul noţional plafonat </w:t>
            </w:r>
          </w:p>
          <w:p w14:paraId="4C273797" w14:textId="23DF1425"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Băncile raportează cuantumul noţional folosit ca referinţă de instrumentele financiare derivate de credit (protecţie vândută) ca în 0020; 0070} după scăderea eventualelor modificări ale valorii juste negative care au fost încorporate în fondurile proprii de nivel 1 în privinţa instrumentului financiar derivat de credit vândut.</w:t>
            </w:r>
          </w:p>
        </w:tc>
      </w:tr>
      <w:tr w:rsidR="00CD7708" w:rsidRPr="00A05A6A" w14:paraId="15AC504E" w14:textId="77777777" w:rsidTr="0077559D">
        <w:trPr>
          <w:trHeight w:val="161"/>
        </w:trPr>
        <w:tc>
          <w:tcPr>
            <w:tcW w:w="1129" w:type="dxa"/>
          </w:tcPr>
          <w:p w14:paraId="5B273056" w14:textId="6066A550" w:rsidR="00CD7708" w:rsidRPr="000F57AA" w:rsidRDefault="00CD7708" w:rsidP="00CD7708">
            <w:pPr>
              <w:ind w:right="90"/>
              <w:rPr>
                <w:sz w:val="22"/>
                <w:szCs w:val="22"/>
                <w:lang w:val="ro-RO" w:eastAsia="ru-RU"/>
                <w14:ligatures w14:val="standardContextual"/>
              </w:rPr>
            </w:pPr>
            <w:r w:rsidRPr="000F57AA">
              <w:rPr>
                <w:sz w:val="22"/>
                <w:szCs w:val="22"/>
                <w:lang w:val="ro-RO"/>
              </w:rPr>
              <w:t>{0030;0070}</w:t>
            </w:r>
          </w:p>
        </w:tc>
        <w:tc>
          <w:tcPr>
            <w:tcW w:w="8505" w:type="dxa"/>
            <w:gridSpan w:val="2"/>
          </w:tcPr>
          <w:p w14:paraId="5CE0D11E" w14:textId="77777777" w:rsidR="00CD7708" w:rsidRPr="000F57AA" w:rsidRDefault="00CD7708" w:rsidP="00FA1A79">
            <w:pPr>
              <w:ind w:right="90" w:firstLine="598"/>
              <w:rPr>
                <w:b/>
                <w:bCs/>
                <w:sz w:val="22"/>
                <w:szCs w:val="22"/>
                <w:lang w:val="ro-RO"/>
              </w:rPr>
            </w:pPr>
            <w:r w:rsidRPr="000F57AA">
              <w:rPr>
                <w:b/>
                <w:bCs/>
                <w:sz w:val="22"/>
                <w:szCs w:val="22"/>
                <w:lang w:val="ro-RO"/>
              </w:rPr>
              <w:t xml:space="preserve">Instrumente financiare derivate de credit (protecţie vândută) supuse unei clauze de lichidare – Cuantumul noţional </w:t>
            </w:r>
          </w:p>
          <w:p w14:paraId="37C34AAF" w14:textId="77777777" w:rsidR="00CD7708" w:rsidRPr="000F57AA" w:rsidRDefault="00CD7708" w:rsidP="00FA1A79">
            <w:pPr>
              <w:ind w:right="90" w:firstLine="598"/>
              <w:rPr>
                <w:sz w:val="22"/>
                <w:szCs w:val="22"/>
                <w:lang w:val="ro-RO"/>
              </w:rPr>
            </w:pPr>
            <w:r w:rsidRPr="000F57AA">
              <w:rPr>
                <w:sz w:val="22"/>
                <w:szCs w:val="22"/>
                <w:lang w:val="ro-RO"/>
              </w:rPr>
              <w:t xml:space="preserve">Băncile raportează cuantumul noţional folosit ca referinţă de instrumentele financiare derivate de credit în cazul în care banca vinde unei contrapărţi protecţie de credit supusă unei clauze de lichidare. </w:t>
            </w:r>
          </w:p>
          <w:p w14:paraId="6546359F" w14:textId="53E2A1EF" w:rsidR="00005884" w:rsidRPr="000F57AA" w:rsidRDefault="00CD7708" w:rsidP="00FA1A79">
            <w:pPr>
              <w:ind w:right="90" w:firstLine="598"/>
              <w:rPr>
                <w:sz w:val="22"/>
                <w:szCs w:val="22"/>
                <w:lang w:val="ro-RO"/>
              </w:rPr>
            </w:pPr>
            <w:r w:rsidRPr="000F57AA">
              <w:rPr>
                <w:sz w:val="22"/>
                <w:szCs w:val="22"/>
                <w:lang w:val="ro-RO"/>
              </w:rPr>
              <w:t xml:space="preserve">O clauză de lichidare este o clauză ce dă părţii care și-a îndeplinit obligaţiile dreptul de a rezilia și a lichida rapid toate tranzacţiile vizate de acord, în caz de nerespectare a obligaţiilor contractuale, inclusiv în cazul </w:t>
            </w:r>
            <w:r w:rsidR="00E92016" w:rsidRPr="000F57AA">
              <w:rPr>
                <w:sz w:val="22"/>
                <w:szCs w:val="22"/>
                <w:lang w:val="ro-RO"/>
              </w:rPr>
              <w:t xml:space="preserve"> insolvabilității </w:t>
            </w:r>
            <w:r w:rsidRPr="000F57AA">
              <w:rPr>
                <w:sz w:val="22"/>
                <w:szCs w:val="22"/>
                <w:lang w:val="ro-RO"/>
              </w:rPr>
              <w:t xml:space="preserve">sau al falimentului contrapărţii. </w:t>
            </w:r>
          </w:p>
          <w:p w14:paraId="09762D16" w14:textId="6AC445CD" w:rsidR="00CD7708" w:rsidRPr="000F57AA" w:rsidRDefault="00CD7708" w:rsidP="00FA1A79">
            <w:pPr>
              <w:ind w:right="90" w:firstLine="598"/>
              <w:rPr>
                <w:b/>
                <w:bCs/>
                <w:sz w:val="22"/>
                <w:szCs w:val="22"/>
                <w:lang w:val="ro-RO" w:eastAsia="ru-RU"/>
                <w14:ligatures w14:val="standardContextual"/>
              </w:rPr>
            </w:pPr>
            <w:r w:rsidRPr="000F57AA">
              <w:rPr>
                <w:sz w:val="22"/>
                <w:szCs w:val="22"/>
                <w:lang w:val="ro-RO"/>
              </w:rPr>
              <w:t>Băncile iau în considerare toate instrumentele financiare derivate de credit, nu numai pe cele atribuite portofoliului de tranzacţionare.</w:t>
            </w:r>
          </w:p>
        </w:tc>
      </w:tr>
      <w:tr w:rsidR="00CD7708" w:rsidRPr="00A05A6A" w14:paraId="44EA5F2B" w14:textId="77777777" w:rsidTr="0077559D">
        <w:trPr>
          <w:trHeight w:val="161"/>
        </w:trPr>
        <w:tc>
          <w:tcPr>
            <w:tcW w:w="1129" w:type="dxa"/>
          </w:tcPr>
          <w:p w14:paraId="0B128FD9" w14:textId="43B2FCA0" w:rsidR="00CD7708" w:rsidRPr="000F57AA" w:rsidRDefault="00CD7708" w:rsidP="00CD7708">
            <w:pPr>
              <w:ind w:right="90"/>
              <w:rPr>
                <w:sz w:val="22"/>
                <w:szCs w:val="22"/>
                <w:lang w:val="ro-RO" w:eastAsia="ru-RU"/>
                <w14:ligatures w14:val="standardContextual"/>
              </w:rPr>
            </w:pPr>
            <w:r w:rsidRPr="000F57AA">
              <w:rPr>
                <w:sz w:val="22"/>
                <w:szCs w:val="22"/>
                <w:lang w:val="ro-RO"/>
              </w:rPr>
              <w:t>{0040;0070}</w:t>
            </w:r>
          </w:p>
        </w:tc>
        <w:tc>
          <w:tcPr>
            <w:tcW w:w="8505" w:type="dxa"/>
            <w:gridSpan w:val="2"/>
          </w:tcPr>
          <w:p w14:paraId="44925686" w14:textId="77777777" w:rsidR="00CD7708" w:rsidRPr="000F57AA" w:rsidRDefault="00CD7708" w:rsidP="00005884">
            <w:pPr>
              <w:ind w:right="90" w:firstLine="598"/>
              <w:rPr>
                <w:b/>
                <w:bCs/>
                <w:sz w:val="22"/>
                <w:szCs w:val="22"/>
                <w:lang w:val="ro-RO"/>
              </w:rPr>
            </w:pPr>
            <w:r w:rsidRPr="000F57AA">
              <w:rPr>
                <w:b/>
                <w:bCs/>
                <w:sz w:val="22"/>
                <w:szCs w:val="22"/>
                <w:lang w:val="ro-RO"/>
              </w:rPr>
              <w:t xml:space="preserve">Instrumente financiare derivate de credit (protecţie vândută) nesupuse unei clauze de lichidare – Cuantumul noţional </w:t>
            </w:r>
          </w:p>
          <w:p w14:paraId="3D0E28B3" w14:textId="77777777" w:rsidR="00CD7708" w:rsidRPr="000F57AA" w:rsidRDefault="00CD7708" w:rsidP="00005884">
            <w:pPr>
              <w:ind w:right="90" w:firstLine="598"/>
              <w:rPr>
                <w:sz w:val="22"/>
                <w:szCs w:val="22"/>
                <w:lang w:val="ro-RO"/>
              </w:rPr>
            </w:pPr>
            <w:r w:rsidRPr="000F57AA">
              <w:rPr>
                <w:sz w:val="22"/>
                <w:szCs w:val="22"/>
                <w:lang w:val="ro-RO"/>
              </w:rPr>
              <w:t xml:space="preserve">Băncile raportează cuantumul noţional folosit ca referinţă de instrumentele financiare derivate de credit în cazul în care banca vinde unei contrapărţi protecţie de credit care nu este supusă unei clauze de lichidare. </w:t>
            </w:r>
          </w:p>
          <w:p w14:paraId="1B58C5ED" w14:textId="1C728D6C" w:rsidR="00005884" w:rsidRPr="000F57AA" w:rsidRDefault="00CD7708" w:rsidP="00005884">
            <w:pPr>
              <w:ind w:right="90" w:firstLine="598"/>
              <w:rPr>
                <w:sz w:val="22"/>
                <w:szCs w:val="22"/>
                <w:lang w:val="ro-RO"/>
              </w:rPr>
            </w:pPr>
            <w:r w:rsidRPr="000F57AA">
              <w:rPr>
                <w:sz w:val="22"/>
                <w:szCs w:val="22"/>
                <w:lang w:val="ro-RO"/>
              </w:rPr>
              <w:t xml:space="preserve">O clauză de lichidare este o clauză ce dă părţii care și-a îndeplinit obligaţiile dreptul de a rezilia și a lichida rapid toate tranzacţiile vizate de acord, în caz de nerespectare a obligaţiilor contractuale, inclusiv în cazul </w:t>
            </w:r>
            <w:r w:rsidR="00E92016" w:rsidRPr="000F57AA">
              <w:rPr>
                <w:sz w:val="22"/>
                <w:szCs w:val="22"/>
                <w:lang w:val="ro-RO"/>
              </w:rPr>
              <w:t xml:space="preserve">insolvabilității </w:t>
            </w:r>
            <w:r w:rsidRPr="000F57AA">
              <w:rPr>
                <w:sz w:val="22"/>
                <w:szCs w:val="22"/>
                <w:lang w:val="ro-RO"/>
              </w:rPr>
              <w:t>sau al falimentului contrapărţii.</w:t>
            </w:r>
          </w:p>
          <w:p w14:paraId="62251D85" w14:textId="37ADD3F7" w:rsidR="00CD7708" w:rsidRPr="000F57AA" w:rsidRDefault="00CD7708" w:rsidP="00005884">
            <w:pPr>
              <w:ind w:right="90" w:firstLine="598"/>
              <w:rPr>
                <w:b/>
                <w:bCs/>
                <w:sz w:val="22"/>
                <w:szCs w:val="22"/>
                <w:lang w:val="ro-RO" w:eastAsia="ru-RU"/>
                <w14:ligatures w14:val="standardContextual"/>
              </w:rPr>
            </w:pPr>
            <w:r w:rsidRPr="000F57AA">
              <w:rPr>
                <w:sz w:val="22"/>
                <w:szCs w:val="22"/>
                <w:lang w:val="ro-RO"/>
              </w:rPr>
              <w:t>Băncile iau în considerare toate instrumentele financiare derivate de credit, nu numai pe cele atribuite portofoliului de tranzacţionare.</w:t>
            </w:r>
          </w:p>
        </w:tc>
      </w:tr>
      <w:tr w:rsidR="00CD7708" w:rsidRPr="00A05A6A" w14:paraId="71C556B0" w14:textId="77777777" w:rsidTr="0077559D">
        <w:trPr>
          <w:trHeight w:val="161"/>
        </w:trPr>
        <w:tc>
          <w:tcPr>
            <w:tcW w:w="1129" w:type="dxa"/>
          </w:tcPr>
          <w:p w14:paraId="6ADEA74C" w14:textId="22702242" w:rsidR="00CD7708" w:rsidRPr="000F57AA" w:rsidRDefault="00CD7708" w:rsidP="00CD7708">
            <w:pPr>
              <w:ind w:right="90"/>
              <w:rPr>
                <w:sz w:val="22"/>
                <w:szCs w:val="22"/>
                <w:lang w:val="ro-RO" w:eastAsia="ru-RU"/>
                <w14:ligatures w14:val="standardContextual"/>
              </w:rPr>
            </w:pPr>
            <w:r w:rsidRPr="000F57AA">
              <w:rPr>
                <w:sz w:val="22"/>
                <w:szCs w:val="22"/>
                <w:lang w:val="ro-RO"/>
              </w:rPr>
              <w:t>{0050;0010}</w:t>
            </w:r>
          </w:p>
        </w:tc>
        <w:tc>
          <w:tcPr>
            <w:tcW w:w="8505" w:type="dxa"/>
            <w:gridSpan w:val="2"/>
          </w:tcPr>
          <w:p w14:paraId="42DF065C" w14:textId="77777777" w:rsidR="00CD7708" w:rsidRPr="000F57AA" w:rsidRDefault="00CD7708" w:rsidP="00005884">
            <w:pPr>
              <w:ind w:right="90" w:firstLine="598"/>
              <w:rPr>
                <w:b/>
                <w:bCs/>
                <w:sz w:val="22"/>
                <w:szCs w:val="22"/>
                <w:lang w:val="ro-RO"/>
              </w:rPr>
            </w:pPr>
            <w:r w:rsidRPr="000F57AA">
              <w:rPr>
                <w:b/>
                <w:bCs/>
                <w:sz w:val="22"/>
                <w:szCs w:val="22"/>
                <w:lang w:val="ro-RO"/>
              </w:rPr>
              <w:t xml:space="preserve">Instrumente financiare derivate de credit (protecţie cumpărată) – Valoarea contabilă din bilanţ </w:t>
            </w:r>
          </w:p>
          <w:p w14:paraId="0103BCBC" w14:textId="77777777" w:rsidR="00CD7708" w:rsidRPr="000F57AA" w:rsidRDefault="00CD7708" w:rsidP="00005884">
            <w:pPr>
              <w:ind w:right="90" w:firstLine="598"/>
              <w:rPr>
                <w:sz w:val="22"/>
                <w:szCs w:val="22"/>
                <w:lang w:val="ro-RO"/>
              </w:rPr>
            </w:pPr>
            <w:r w:rsidRPr="000F57AA">
              <w:rPr>
                <w:sz w:val="22"/>
                <w:szCs w:val="22"/>
                <w:lang w:val="ro-RO"/>
              </w:rPr>
              <w:lastRenderedPageBreak/>
              <w:t xml:space="preserve">Cadrul contabil IFRS; </w:t>
            </w:r>
          </w:p>
          <w:p w14:paraId="58D76EAC" w14:textId="77777777" w:rsidR="00005884" w:rsidRPr="000F57AA" w:rsidRDefault="00CD7708" w:rsidP="00CD7708">
            <w:pPr>
              <w:ind w:right="90" w:firstLine="530"/>
              <w:rPr>
                <w:sz w:val="22"/>
                <w:szCs w:val="22"/>
                <w:lang w:val="ro-RO"/>
              </w:rPr>
            </w:pPr>
            <w:r w:rsidRPr="000F57AA">
              <w:rPr>
                <w:sz w:val="22"/>
                <w:szCs w:val="22"/>
                <w:lang w:val="ro-RO"/>
              </w:rPr>
              <w:t xml:space="preserve">valoarea contabilă din bilanţ, conform cadrului contabil IFRS, a instrumentelor financiare derivate de credit în cazul în care banca cumpără protecţie de credit de la o contraparte și contractul este recunoscut în bilanţ ca activ. </w:t>
            </w:r>
          </w:p>
          <w:p w14:paraId="7AC4FA5A" w14:textId="22A96D6B" w:rsidR="00CD7708" w:rsidRPr="000F57AA" w:rsidRDefault="00CD7708" w:rsidP="00CD7708">
            <w:pPr>
              <w:ind w:right="90" w:firstLine="530"/>
              <w:rPr>
                <w:b/>
                <w:bCs/>
                <w:sz w:val="22"/>
                <w:szCs w:val="22"/>
                <w:lang w:val="ro-RO" w:eastAsia="ru-RU"/>
                <w14:ligatures w14:val="standardContextual"/>
              </w:rPr>
            </w:pPr>
            <w:r w:rsidRPr="000F57AA">
              <w:rPr>
                <w:sz w:val="22"/>
                <w:szCs w:val="22"/>
                <w:lang w:val="ro-RO"/>
              </w:rPr>
              <w:t>Băncile iau în considerare toate instrumentele financiare derivate de credit, nu numai pe cele atribuite portofoliului de tranzacţionare.</w:t>
            </w:r>
          </w:p>
        </w:tc>
      </w:tr>
      <w:tr w:rsidR="0069536E" w:rsidRPr="00A05A6A" w14:paraId="10C8FD85" w14:textId="77777777" w:rsidTr="0077559D">
        <w:trPr>
          <w:trHeight w:val="161"/>
        </w:trPr>
        <w:tc>
          <w:tcPr>
            <w:tcW w:w="1129" w:type="dxa"/>
          </w:tcPr>
          <w:p w14:paraId="498754F1" w14:textId="02E805AE" w:rsidR="0069536E" w:rsidRPr="000F57AA" w:rsidRDefault="0069536E" w:rsidP="0069536E">
            <w:pPr>
              <w:ind w:right="90"/>
              <w:rPr>
                <w:sz w:val="22"/>
                <w:szCs w:val="22"/>
                <w:lang w:val="ro-RO" w:eastAsia="ru-RU"/>
                <w14:ligatures w14:val="standardContextual"/>
              </w:rPr>
            </w:pPr>
            <w:r w:rsidRPr="000F57AA">
              <w:rPr>
                <w:sz w:val="22"/>
                <w:szCs w:val="22"/>
                <w:lang w:val="ro-RO"/>
              </w:rPr>
              <w:lastRenderedPageBreak/>
              <w:t>{0050;0020}</w:t>
            </w:r>
          </w:p>
        </w:tc>
        <w:tc>
          <w:tcPr>
            <w:tcW w:w="8505" w:type="dxa"/>
            <w:gridSpan w:val="2"/>
          </w:tcPr>
          <w:p w14:paraId="1A2E9E6F"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de credit (protecţie cumpărată) – Valoarea contabilă presupunând că nu se recurge la compensare sau la altă tehnică CRM </w:t>
            </w:r>
          </w:p>
          <w:p w14:paraId="146E095E" w14:textId="3BD7E33D" w:rsidR="00005884" w:rsidRPr="000F57AA" w:rsidRDefault="0069536E" w:rsidP="0069536E">
            <w:pPr>
              <w:ind w:right="90" w:firstLine="530"/>
              <w:rPr>
                <w:sz w:val="22"/>
                <w:szCs w:val="22"/>
                <w:lang w:val="ro-RO"/>
              </w:rPr>
            </w:pPr>
            <w:r w:rsidRPr="000F57AA">
              <w:rPr>
                <w:sz w:val="22"/>
                <w:szCs w:val="22"/>
                <w:lang w:val="ro-RO"/>
              </w:rPr>
              <w:t xml:space="preserve">Cadrul contabil IFRS; valoarea contabilă din bilanţ, conform cadrului contabil aplicabil, a instrumentelor financiare derivate de credit în cazul în care banca cumpără protecţie de credit de la o contraparte și contractul este recunoscut în bilanţ ca activ, presupunând că nu există efecte ale compensării prudenţiale sau contabile ori ale CRM (se reiau eventualele efecte ale compensării contabile sau ale CRM care s-au răsfrânt asupra valorii contabile). </w:t>
            </w:r>
          </w:p>
          <w:p w14:paraId="67D27B17" w14:textId="68295350"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 xml:space="preserve">Băncile iau în considerare toate instrumentele financiare derivate de credit, nu numai pe cele atribuite portofoliului de tranzacţionare. </w:t>
            </w:r>
          </w:p>
        </w:tc>
      </w:tr>
      <w:tr w:rsidR="0069536E" w:rsidRPr="00A05A6A" w14:paraId="3243548B" w14:textId="77777777" w:rsidTr="0077559D">
        <w:trPr>
          <w:trHeight w:val="161"/>
        </w:trPr>
        <w:tc>
          <w:tcPr>
            <w:tcW w:w="1129" w:type="dxa"/>
          </w:tcPr>
          <w:p w14:paraId="76CCE9DC" w14:textId="665657DF" w:rsidR="0069536E" w:rsidRPr="000F57AA" w:rsidRDefault="0069536E" w:rsidP="0069536E">
            <w:pPr>
              <w:ind w:right="90"/>
              <w:rPr>
                <w:sz w:val="22"/>
                <w:szCs w:val="22"/>
                <w:lang w:val="ro-RO" w:eastAsia="ru-RU"/>
                <w14:ligatures w14:val="standardContextual"/>
              </w:rPr>
            </w:pPr>
            <w:r w:rsidRPr="000F57AA">
              <w:rPr>
                <w:sz w:val="22"/>
                <w:szCs w:val="22"/>
                <w:lang w:val="ro-RO"/>
              </w:rPr>
              <w:t>{0050;0070}</w:t>
            </w:r>
          </w:p>
        </w:tc>
        <w:tc>
          <w:tcPr>
            <w:tcW w:w="8505" w:type="dxa"/>
            <w:gridSpan w:val="2"/>
          </w:tcPr>
          <w:p w14:paraId="1975E6E6"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de credit (protecţie cumpărată) – Cuantumul noţional </w:t>
            </w:r>
          </w:p>
          <w:p w14:paraId="5B27B3B6" w14:textId="77777777" w:rsidR="0069536E" w:rsidRPr="000F57AA" w:rsidRDefault="0069536E" w:rsidP="00005884">
            <w:pPr>
              <w:ind w:right="90" w:firstLine="598"/>
              <w:rPr>
                <w:sz w:val="22"/>
                <w:szCs w:val="22"/>
                <w:lang w:val="ro-RO"/>
              </w:rPr>
            </w:pPr>
            <w:r w:rsidRPr="000F57AA">
              <w:rPr>
                <w:sz w:val="22"/>
                <w:szCs w:val="22"/>
                <w:lang w:val="ro-RO"/>
              </w:rPr>
              <w:t xml:space="preserve">Băncile raportează cuantumul noţional folosit ca referinţă de instrumentele financiare derivate de credit în cazul în care banca cumpără protecţie de credit de la o contraparte. </w:t>
            </w:r>
          </w:p>
          <w:p w14:paraId="2E3494F5" w14:textId="1D2622C3"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iau în considerare toate instrumentele financiare derivate de credit, nu numai pe cele atribuite portofoliului de tranzacţionare.</w:t>
            </w:r>
          </w:p>
        </w:tc>
      </w:tr>
      <w:tr w:rsidR="0069536E" w:rsidRPr="00A05A6A" w14:paraId="3937156C" w14:textId="77777777" w:rsidTr="0077559D">
        <w:trPr>
          <w:trHeight w:val="161"/>
        </w:trPr>
        <w:tc>
          <w:tcPr>
            <w:tcW w:w="1129" w:type="dxa"/>
          </w:tcPr>
          <w:p w14:paraId="6C9D6301" w14:textId="53087D12" w:rsidR="0069536E" w:rsidRPr="000F57AA" w:rsidRDefault="0069536E" w:rsidP="0069536E">
            <w:pPr>
              <w:ind w:right="90"/>
              <w:rPr>
                <w:sz w:val="22"/>
                <w:szCs w:val="22"/>
                <w:lang w:val="ro-RO" w:eastAsia="ru-RU"/>
                <w14:ligatures w14:val="standardContextual"/>
              </w:rPr>
            </w:pPr>
            <w:r w:rsidRPr="000F57AA">
              <w:rPr>
                <w:sz w:val="22"/>
                <w:szCs w:val="22"/>
                <w:lang w:val="ro-RO"/>
              </w:rPr>
              <w:t>{0050;0075}</w:t>
            </w:r>
          </w:p>
        </w:tc>
        <w:tc>
          <w:tcPr>
            <w:tcW w:w="8505" w:type="dxa"/>
            <w:gridSpan w:val="2"/>
          </w:tcPr>
          <w:p w14:paraId="07B301AC"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de credit (protecţie cumpărată) – Cuantumul noţional plafonat </w:t>
            </w:r>
          </w:p>
          <w:p w14:paraId="6CEC1D90" w14:textId="7953C6B3"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raportează cuantumul noţional folosit ca referinţă de instrumentele financiare derivate de credit (protecţie cumpărată) ca în {0050;0070}, după scăderea eventualelor modificări ale valorii juste pozitive care au fost încorporate în fondurile proprii de nivel 1 în privinţa instrumentului financiar derivat de credit cumpărat.</w:t>
            </w:r>
          </w:p>
        </w:tc>
      </w:tr>
      <w:tr w:rsidR="0069536E" w:rsidRPr="00A05A6A" w14:paraId="5E43D5AE" w14:textId="77777777" w:rsidTr="0077559D">
        <w:trPr>
          <w:trHeight w:val="161"/>
        </w:trPr>
        <w:tc>
          <w:tcPr>
            <w:tcW w:w="1129" w:type="dxa"/>
          </w:tcPr>
          <w:p w14:paraId="1130832C" w14:textId="7F9D352B" w:rsidR="0069536E" w:rsidRPr="000F57AA" w:rsidRDefault="0069536E" w:rsidP="0069536E">
            <w:pPr>
              <w:ind w:right="90"/>
              <w:rPr>
                <w:sz w:val="22"/>
                <w:szCs w:val="22"/>
                <w:lang w:val="ro-RO" w:eastAsia="ru-RU"/>
                <w14:ligatures w14:val="standardContextual"/>
              </w:rPr>
            </w:pPr>
            <w:r w:rsidRPr="000F57AA">
              <w:rPr>
                <w:sz w:val="22"/>
                <w:szCs w:val="22"/>
                <w:lang w:val="ro-RO"/>
              </w:rPr>
              <w:t>{0050;0085}</w:t>
            </w:r>
          </w:p>
        </w:tc>
        <w:tc>
          <w:tcPr>
            <w:tcW w:w="8505" w:type="dxa"/>
            <w:gridSpan w:val="2"/>
          </w:tcPr>
          <w:p w14:paraId="4D0DB0E0"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de credit (protecţie cumpărată) – Cuantumul noţional plafonat (același nume de referinţă) </w:t>
            </w:r>
          </w:p>
          <w:p w14:paraId="21475DC4" w14:textId="77777777" w:rsidR="0069536E" w:rsidRPr="000F57AA" w:rsidRDefault="0069536E" w:rsidP="00005884">
            <w:pPr>
              <w:ind w:right="90" w:firstLine="598"/>
              <w:rPr>
                <w:sz w:val="22"/>
                <w:szCs w:val="22"/>
                <w:lang w:val="ro-RO"/>
              </w:rPr>
            </w:pPr>
            <w:r w:rsidRPr="000F57AA">
              <w:rPr>
                <w:sz w:val="22"/>
                <w:szCs w:val="22"/>
                <w:lang w:val="ro-RO"/>
              </w:rPr>
              <w:t xml:space="preserve">Băncile raportează cuantumul noţional folosit ca referinţă de instrumentele financiare derivate de credit în cazul în care banca cumpără protecţie de credit pentru același nume de referinţă suport ca al instrumentelor financiare derivate de credit vândute de banca raportoare. </w:t>
            </w:r>
          </w:p>
          <w:p w14:paraId="49E4DA41" w14:textId="77777777" w:rsidR="0069536E" w:rsidRPr="000F57AA" w:rsidRDefault="0069536E" w:rsidP="00005884">
            <w:pPr>
              <w:ind w:right="90" w:firstLine="598"/>
              <w:rPr>
                <w:sz w:val="22"/>
                <w:szCs w:val="22"/>
                <w:lang w:val="ro-RO"/>
              </w:rPr>
            </w:pPr>
            <w:r w:rsidRPr="000F57AA">
              <w:rPr>
                <w:sz w:val="22"/>
                <w:szCs w:val="22"/>
                <w:lang w:val="ro-RO"/>
              </w:rPr>
              <w:t xml:space="preserve">Pentru completarea acestei celule, numele de referinţă suport sunt considerate a fi aceleași dacă se referă la aceeași entitate juridică și la același rang. </w:t>
            </w:r>
          </w:p>
          <w:p w14:paraId="6B95D656" w14:textId="77777777" w:rsidR="0069536E" w:rsidRPr="000F57AA" w:rsidRDefault="0069536E" w:rsidP="00005884">
            <w:pPr>
              <w:ind w:right="90" w:firstLine="598"/>
              <w:rPr>
                <w:sz w:val="22"/>
                <w:szCs w:val="22"/>
                <w:lang w:val="ro-RO"/>
              </w:rPr>
            </w:pPr>
            <w:r w:rsidRPr="000F57AA">
              <w:rPr>
                <w:sz w:val="22"/>
                <w:szCs w:val="22"/>
                <w:lang w:val="ro-RO"/>
              </w:rPr>
              <w:t xml:space="preserve">Protecţia de credit cumpărată pentru un grup de entităţi de referinţă este considerată a fi aceeași dacă această protecţie este echivalentă din punct de vedere economic cu cumpărarea protecţiei separat, pentru fiecare nume din grup. </w:t>
            </w:r>
          </w:p>
          <w:p w14:paraId="6E4CA291" w14:textId="6F57EB4C" w:rsidR="0069536E" w:rsidRPr="000F57AA" w:rsidRDefault="0069536E" w:rsidP="00D35FE4">
            <w:pPr>
              <w:ind w:right="90" w:firstLine="598"/>
              <w:rPr>
                <w:sz w:val="22"/>
                <w:szCs w:val="22"/>
                <w:lang w:val="ro-RO"/>
              </w:rPr>
            </w:pPr>
            <w:r w:rsidRPr="000F57AA">
              <w:rPr>
                <w:sz w:val="22"/>
                <w:szCs w:val="22"/>
                <w:lang w:val="ro-RO"/>
              </w:rPr>
              <w:t xml:space="preserve">Dacă o bancă cumpără protecţie de credit pentru un grup de nume de referinţă, această protecţie de credit este considerată a fi aceeași numai dacă protecţia de credit cumpărată acoperă totalitatea subgrupurilor grupului pentru care protecţia de credit a fost vândută.  </w:t>
            </w:r>
            <w:r w:rsidR="00D35FE4" w:rsidRPr="000F57AA">
              <w:rPr>
                <w:sz w:val="22"/>
                <w:szCs w:val="22"/>
                <w:lang w:val="ro-RO"/>
              </w:rPr>
              <w:t>C</w:t>
            </w:r>
            <w:r w:rsidRPr="000F57AA">
              <w:rPr>
                <w:sz w:val="22"/>
                <w:szCs w:val="22"/>
                <w:lang w:val="ro-RO"/>
              </w:rPr>
              <w:t xml:space="preserve">ompensarea poate fi recunoscută numai atunci când grupul de entităţi de referinţă și nivelul de subordonare sunt identice în ambele tranzacţii. </w:t>
            </w:r>
          </w:p>
          <w:p w14:paraId="0D24F7D1" w14:textId="0D05824D" w:rsidR="0069536E" w:rsidRPr="000F57AA" w:rsidRDefault="0069536E" w:rsidP="00005884">
            <w:pPr>
              <w:ind w:right="90" w:firstLine="598"/>
              <w:rPr>
                <w:b/>
                <w:bCs/>
                <w:sz w:val="22"/>
                <w:szCs w:val="22"/>
                <w:lang w:val="ro-RO" w:eastAsia="ru-RU"/>
                <w14:ligatures w14:val="standardContextual"/>
              </w:rPr>
            </w:pPr>
            <w:r w:rsidRPr="000F57AA">
              <w:rPr>
                <w:sz w:val="22"/>
                <w:szCs w:val="22"/>
                <w:lang w:val="ro-RO"/>
              </w:rPr>
              <w:t>Pentru fiecare nume de referinţă, cuantumurile noţionale ale protecţiei de credit care sunt luate în considerare în scopul raportării în această celulă nu pot depăși cuantumurile raportate în {0020;0075} și {0050;0075}.</w:t>
            </w:r>
          </w:p>
        </w:tc>
      </w:tr>
      <w:tr w:rsidR="0069536E" w:rsidRPr="00A05A6A" w14:paraId="101B5BAF" w14:textId="77777777" w:rsidTr="0077559D">
        <w:trPr>
          <w:trHeight w:val="161"/>
        </w:trPr>
        <w:tc>
          <w:tcPr>
            <w:tcW w:w="1129" w:type="dxa"/>
          </w:tcPr>
          <w:p w14:paraId="2D5E6F46" w14:textId="24F1D13C" w:rsidR="0069536E" w:rsidRPr="000F57AA" w:rsidRDefault="0069536E" w:rsidP="0069536E">
            <w:pPr>
              <w:ind w:right="90"/>
              <w:rPr>
                <w:sz w:val="22"/>
                <w:szCs w:val="22"/>
                <w:lang w:val="ro-RO" w:eastAsia="ru-RU"/>
                <w14:ligatures w14:val="standardContextual"/>
              </w:rPr>
            </w:pPr>
            <w:r w:rsidRPr="000F57AA">
              <w:rPr>
                <w:sz w:val="22"/>
                <w:szCs w:val="22"/>
                <w:lang w:val="ro-RO"/>
              </w:rPr>
              <w:t>{0060;0010}</w:t>
            </w:r>
          </w:p>
        </w:tc>
        <w:tc>
          <w:tcPr>
            <w:tcW w:w="8505" w:type="dxa"/>
            <w:gridSpan w:val="2"/>
          </w:tcPr>
          <w:p w14:paraId="6BF4BAF8"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 Valoarea contabilă din bilanţ </w:t>
            </w:r>
          </w:p>
          <w:p w14:paraId="26B5A392" w14:textId="77777777" w:rsidR="0069536E" w:rsidRPr="000F57AA" w:rsidRDefault="0069536E" w:rsidP="00005884">
            <w:pPr>
              <w:ind w:right="90" w:firstLine="598"/>
              <w:rPr>
                <w:sz w:val="22"/>
                <w:szCs w:val="22"/>
                <w:lang w:val="ro-RO"/>
              </w:rPr>
            </w:pPr>
            <w:r w:rsidRPr="000F57AA">
              <w:rPr>
                <w:sz w:val="22"/>
                <w:szCs w:val="22"/>
                <w:lang w:val="ro-RO"/>
              </w:rPr>
              <w:t>Cadrul contabil IFRS</w:t>
            </w:r>
          </w:p>
          <w:p w14:paraId="1ADFA075" w14:textId="2150EC09"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raportează valoarea contabilă din bilanţ, conform cadrului contabil IFRS, a contractelor enumerate în anexa nr.1 la Regulamentul nr.114/2018 în cazul în care contractele sunt recunoscute în bilanţ ca active.</w:t>
            </w:r>
          </w:p>
        </w:tc>
      </w:tr>
      <w:tr w:rsidR="0069536E" w:rsidRPr="00A05A6A" w14:paraId="7C3D64BF" w14:textId="77777777" w:rsidTr="0077559D">
        <w:trPr>
          <w:trHeight w:val="161"/>
        </w:trPr>
        <w:tc>
          <w:tcPr>
            <w:tcW w:w="1129" w:type="dxa"/>
          </w:tcPr>
          <w:p w14:paraId="0D41DEB2" w14:textId="03F7054F" w:rsidR="0069536E" w:rsidRPr="000F57AA" w:rsidRDefault="0069536E" w:rsidP="0069536E">
            <w:pPr>
              <w:ind w:right="90"/>
              <w:rPr>
                <w:sz w:val="22"/>
                <w:szCs w:val="22"/>
                <w:lang w:val="ro-RO" w:eastAsia="ru-RU"/>
                <w14:ligatures w14:val="standardContextual"/>
              </w:rPr>
            </w:pPr>
            <w:r w:rsidRPr="000F57AA">
              <w:rPr>
                <w:sz w:val="22"/>
                <w:szCs w:val="22"/>
                <w:lang w:val="ro-RO"/>
              </w:rPr>
              <w:t>{0060;0020}</w:t>
            </w:r>
          </w:p>
        </w:tc>
        <w:tc>
          <w:tcPr>
            <w:tcW w:w="8505" w:type="dxa"/>
            <w:gridSpan w:val="2"/>
          </w:tcPr>
          <w:p w14:paraId="36934778" w14:textId="77777777" w:rsidR="0069536E" w:rsidRPr="000F57AA" w:rsidRDefault="0069536E" w:rsidP="00005884">
            <w:pPr>
              <w:ind w:right="90" w:firstLine="598"/>
              <w:rPr>
                <w:b/>
                <w:bCs/>
                <w:sz w:val="22"/>
                <w:szCs w:val="22"/>
                <w:lang w:val="ro-RO"/>
              </w:rPr>
            </w:pPr>
            <w:r w:rsidRPr="000F57AA">
              <w:rPr>
                <w:b/>
                <w:bCs/>
                <w:sz w:val="22"/>
                <w:szCs w:val="22"/>
                <w:lang w:val="ro-RO"/>
              </w:rPr>
              <w:t>Instrumente financiare derivate – Valoarea contabilă presupunând că nu se recurge la compensare sau la altă tehnică CRM</w:t>
            </w:r>
          </w:p>
          <w:p w14:paraId="4B29A108" w14:textId="77777777" w:rsidR="0069536E" w:rsidRPr="000F57AA" w:rsidRDefault="0069536E" w:rsidP="00005884">
            <w:pPr>
              <w:ind w:right="90" w:firstLine="598"/>
              <w:rPr>
                <w:sz w:val="22"/>
                <w:szCs w:val="22"/>
                <w:lang w:val="ro-RO"/>
              </w:rPr>
            </w:pPr>
            <w:r w:rsidRPr="000F57AA">
              <w:rPr>
                <w:sz w:val="22"/>
                <w:szCs w:val="22"/>
                <w:lang w:val="ro-RO"/>
              </w:rPr>
              <w:t xml:space="preserve">Cadrul contabil IFRS; </w:t>
            </w:r>
          </w:p>
          <w:p w14:paraId="33090624" w14:textId="13B76C3C"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lastRenderedPageBreak/>
              <w:t>valoarea contabilă din bilanţ, conform cadrului contabil IFRS, a contractelor enumerate în anexa nr.1 la Regulamentul nr.114/2018</w:t>
            </w:r>
            <w:r w:rsidR="00737EEC" w:rsidRPr="000F57AA">
              <w:rPr>
                <w:sz w:val="22"/>
                <w:szCs w:val="22"/>
                <w:lang w:val="ro-RO"/>
              </w:rPr>
              <w:t xml:space="preserve"> </w:t>
            </w:r>
            <w:r w:rsidRPr="000F57AA">
              <w:rPr>
                <w:sz w:val="22"/>
                <w:szCs w:val="22"/>
                <w:lang w:val="ro-RO"/>
              </w:rPr>
              <w:t>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w:t>
            </w:r>
          </w:p>
        </w:tc>
      </w:tr>
      <w:tr w:rsidR="0069536E" w:rsidRPr="00A05A6A" w14:paraId="60B231F6" w14:textId="77777777" w:rsidTr="0077559D">
        <w:trPr>
          <w:trHeight w:val="161"/>
        </w:trPr>
        <w:tc>
          <w:tcPr>
            <w:tcW w:w="1129" w:type="dxa"/>
          </w:tcPr>
          <w:p w14:paraId="22ADADF6" w14:textId="08B0E8A2" w:rsidR="0069536E" w:rsidRPr="000F57AA" w:rsidRDefault="0069536E" w:rsidP="0069536E">
            <w:pPr>
              <w:ind w:right="90"/>
              <w:rPr>
                <w:sz w:val="22"/>
                <w:szCs w:val="22"/>
                <w:lang w:val="ro-RO" w:eastAsia="ru-RU"/>
                <w14:ligatures w14:val="standardContextual"/>
              </w:rPr>
            </w:pPr>
            <w:r w:rsidRPr="000F57AA">
              <w:rPr>
                <w:sz w:val="22"/>
                <w:szCs w:val="22"/>
                <w:lang w:val="ro-RO"/>
              </w:rPr>
              <w:lastRenderedPageBreak/>
              <w:t>{0060;0070}</w:t>
            </w:r>
          </w:p>
        </w:tc>
        <w:tc>
          <w:tcPr>
            <w:tcW w:w="8505" w:type="dxa"/>
            <w:gridSpan w:val="2"/>
          </w:tcPr>
          <w:p w14:paraId="05D95537" w14:textId="77777777" w:rsidR="0069536E" w:rsidRPr="000F57AA" w:rsidRDefault="0069536E" w:rsidP="00005884">
            <w:pPr>
              <w:ind w:right="90" w:firstLine="598"/>
              <w:rPr>
                <w:b/>
                <w:bCs/>
                <w:sz w:val="22"/>
                <w:szCs w:val="22"/>
                <w:lang w:val="ro-RO"/>
              </w:rPr>
            </w:pPr>
            <w:r w:rsidRPr="000F57AA">
              <w:rPr>
                <w:b/>
                <w:bCs/>
                <w:sz w:val="22"/>
                <w:szCs w:val="22"/>
                <w:lang w:val="ro-RO"/>
              </w:rPr>
              <w:t xml:space="preserve">Instrumente financiare derivate – Cuantumul noţional </w:t>
            </w:r>
          </w:p>
          <w:p w14:paraId="7BF77E38" w14:textId="7DA6C198"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Această celulă conţine cuantumul noţional folosit ca referinţă de contractele enumerate în anexa nr.1 la Regulamentul nr.114/2018.</w:t>
            </w:r>
          </w:p>
        </w:tc>
      </w:tr>
      <w:tr w:rsidR="0069536E" w:rsidRPr="000F57AA" w14:paraId="3D8496F6" w14:textId="77777777" w:rsidTr="0077559D">
        <w:trPr>
          <w:trHeight w:val="161"/>
        </w:trPr>
        <w:tc>
          <w:tcPr>
            <w:tcW w:w="1129" w:type="dxa"/>
          </w:tcPr>
          <w:p w14:paraId="2F594831" w14:textId="7BB6ABAA" w:rsidR="0069536E" w:rsidRPr="000F57AA" w:rsidRDefault="0069536E" w:rsidP="0069536E">
            <w:pPr>
              <w:ind w:right="90"/>
              <w:rPr>
                <w:sz w:val="22"/>
                <w:szCs w:val="22"/>
                <w:lang w:val="ro-RO" w:eastAsia="ru-RU"/>
                <w14:ligatures w14:val="standardContextual"/>
              </w:rPr>
            </w:pPr>
            <w:r w:rsidRPr="000F57AA">
              <w:rPr>
                <w:sz w:val="22"/>
                <w:szCs w:val="22"/>
                <w:lang w:val="ro-RO"/>
              </w:rPr>
              <w:t>{0071;0010}</w:t>
            </w:r>
          </w:p>
        </w:tc>
        <w:tc>
          <w:tcPr>
            <w:tcW w:w="8505" w:type="dxa"/>
            <w:gridSpan w:val="2"/>
          </w:tcPr>
          <w:p w14:paraId="0658BA42" w14:textId="77777777" w:rsidR="00005884" w:rsidRPr="000F57AA" w:rsidRDefault="0069536E" w:rsidP="00005884">
            <w:pPr>
              <w:ind w:right="90" w:firstLine="598"/>
              <w:rPr>
                <w:b/>
                <w:bCs/>
                <w:sz w:val="22"/>
                <w:szCs w:val="22"/>
                <w:lang w:val="ro-RO"/>
              </w:rPr>
            </w:pPr>
            <w:r w:rsidRPr="000F57AA">
              <w:rPr>
                <w:b/>
                <w:bCs/>
                <w:sz w:val="22"/>
                <w:szCs w:val="22"/>
                <w:lang w:val="ro-RO"/>
              </w:rPr>
              <w:t xml:space="preserve">Operaţiuni de finanţare prin instrumente financiare – Valoarea contabilă din bilanţ </w:t>
            </w:r>
          </w:p>
          <w:p w14:paraId="29E485C8" w14:textId="758B9179" w:rsidR="0069536E" w:rsidRPr="000F57AA" w:rsidRDefault="0069536E" w:rsidP="00005884">
            <w:pPr>
              <w:ind w:right="90" w:firstLine="598"/>
              <w:rPr>
                <w:sz w:val="22"/>
                <w:szCs w:val="22"/>
                <w:lang w:val="ro-RO"/>
              </w:rPr>
            </w:pPr>
            <w:r w:rsidRPr="000F57AA">
              <w:rPr>
                <w:sz w:val="22"/>
                <w:szCs w:val="22"/>
                <w:lang w:val="ro-RO"/>
              </w:rPr>
              <w:t xml:space="preserve">Cadrul contabil IFRS; </w:t>
            </w:r>
          </w:p>
          <w:p w14:paraId="3EED0839" w14:textId="77777777" w:rsidR="0069536E" w:rsidRPr="000F57AA" w:rsidRDefault="0069536E" w:rsidP="00005884">
            <w:pPr>
              <w:ind w:right="90" w:firstLine="598"/>
              <w:rPr>
                <w:sz w:val="22"/>
                <w:szCs w:val="22"/>
                <w:lang w:val="ro-RO"/>
              </w:rPr>
            </w:pPr>
            <w:r w:rsidRPr="000F57AA">
              <w:rPr>
                <w:sz w:val="22"/>
                <w:szCs w:val="22"/>
                <w:lang w:val="ro-RO"/>
              </w:rPr>
              <w:t xml:space="preserve">valoarea contabilă din bilanţ a SFT conform cadrului contabil IFRS, în cazul în care contractele sunt recunoscute în bilanţ ca active. </w:t>
            </w:r>
          </w:p>
          <w:p w14:paraId="0F334902" w14:textId="26613FE3"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nu includ în această celulă numerarul primit sau titlurile care sunt furnizate unei contrapărţi prin intermediul tranzacţiilor sus-menţionate și care sunt reţinute în bilanţ (și anume, pentru care criteriile contabile de scoatere din bilanţ nu sunt îndeplinite). Băncile le includ în schimb în celula {0090,0010}.</w:t>
            </w:r>
          </w:p>
        </w:tc>
      </w:tr>
      <w:tr w:rsidR="0069536E" w:rsidRPr="000F57AA" w14:paraId="66E446D7" w14:textId="77777777" w:rsidTr="0077559D">
        <w:trPr>
          <w:trHeight w:val="161"/>
        </w:trPr>
        <w:tc>
          <w:tcPr>
            <w:tcW w:w="1129" w:type="dxa"/>
          </w:tcPr>
          <w:p w14:paraId="5956B5AC" w14:textId="78550E96" w:rsidR="0069536E" w:rsidRPr="000F57AA" w:rsidRDefault="0069536E" w:rsidP="0069536E">
            <w:pPr>
              <w:ind w:right="90"/>
              <w:rPr>
                <w:sz w:val="22"/>
                <w:szCs w:val="22"/>
                <w:lang w:val="ro-RO" w:eastAsia="ru-RU"/>
                <w14:ligatures w14:val="standardContextual"/>
              </w:rPr>
            </w:pPr>
            <w:r w:rsidRPr="000F57AA">
              <w:rPr>
                <w:sz w:val="22"/>
                <w:szCs w:val="22"/>
                <w:lang w:val="ro-RO"/>
              </w:rPr>
              <w:t>{0071;0020}</w:t>
            </w:r>
          </w:p>
        </w:tc>
        <w:tc>
          <w:tcPr>
            <w:tcW w:w="8505" w:type="dxa"/>
            <w:gridSpan w:val="2"/>
          </w:tcPr>
          <w:p w14:paraId="721D8FF1" w14:textId="77777777" w:rsidR="0069536E" w:rsidRPr="000F57AA" w:rsidRDefault="0069536E" w:rsidP="00005884">
            <w:pPr>
              <w:ind w:right="90" w:firstLine="598"/>
              <w:rPr>
                <w:b/>
                <w:bCs/>
                <w:sz w:val="22"/>
                <w:szCs w:val="22"/>
                <w:lang w:val="ro-RO"/>
              </w:rPr>
            </w:pPr>
            <w:r w:rsidRPr="000F57AA">
              <w:rPr>
                <w:b/>
                <w:bCs/>
                <w:sz w:val="22"/>
                <w:szCs w:val="22"/>
                <w:lang w:val="ro-RO"/>
              </w:rPr>
              <w:t xml:space="preserve">Operaţiuni de finanţare prin instrumente financiare – Valoarea contabilă presupunând că nu se recurge la compensare sau la altă tehnică CRM </w:t>
            </w:r>
          </w:p>
          <w:p w14:paraId="73280FB4" w14:textId="77777777" w:rsidR="0069536E" w:rsidRPr="000F57AA" w:rsidRDefault="0069536E" w:rsidP="00005884">
            <w:pPr>
              <w:ind w:right="90" w:firstLine="598"/>
              <w:rPr>
                <w:sz w:val="22"/>
                <w:szCs w:val="22"/>
                <w:lang w:val="ro-RO"/>
              </w:rPr>
            </w:pPr>
            <w:r w:rsidRPr="000F57AA">
              <w:rPr>
                <w:sz w:val="22"/>
                <w:szCs w:val="22"/>
                <w:lang w:val="ro-RO"/>
              </w:rPr>
              <w:t xml:space="preserve">Cadrul contabil IFRS; </w:t>
            </w:r>
          </w:p>
          <w:p w14:paraId="62EF4FAB" w14:textId="6986F70B" w:rsidR="0069536E" w:rsidRPr="000F57AA" w:rsidRDefault="0069536E" w:rsidP="00005884">
            <w:pPr>
              <w:ind w:right="90" w:firstLine="598"/>
              <w:rPr>
                <w:sz w:val="22"/>
                <w:szCs w:val="22"/>
                <w:lang w:val="ro-RO"/>
              </w:rPr>
            </w:pPr>
            <w:r w:rsidRPr="000F57AA">
              <w:rPr>
                <w:sz w:val="22"/>
                <w:szCs w:val="22"/>
                <w:lang w:val="ro-RO"/>
              </w:rPr>
              <w:t xml:space="preserve">valoarea contabilă din bilanţ, conform cadrului contabil IFRS, 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 </w:t>
            </w:r>
          </w:p>
          <w:p w14:paraId="6E845CAD" w14:textId="4A204C06"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Atunci când, conform cadrului contabil IFRS, SFT-ul se înregistrează în contabilitate ca vânzare, băncile reiau toate înregistrările contabile legate de vânzare. Băncile nu includ în această celulă numerarul primit sau titlurile care sunt furnizate unei contrapărţi prin intermediul tranzacţiilor sus-menţionate și care sunt reţinute în bilanţ (și anume, pentru care criteriile contabile de scoatere din bilanţ nu sunt îndeplinite). Băncile le includ în schimb în celula {0090,0020}.</w:t>
            </w:r>
          </w:p>
        </w:tc>
      </w:tr>
      <w:tr w:rsidR="0069536E" w:rsidRPr="00A05A6A" w14:paraId="6AEC6FC6" w14:textId="77777777" w:rsidTr="0077559D">
        <w:trPr>
          <w:trHeight w:val="161"/>
        </w:trPr>
        <w:tc>
          <w:tcPr>
            <w:tcW w:w="1129" w:type="dxa"/>
          </w:tcPr>
          <w:p w14:paraId="1E7BFF96" w14:textId="0B2516C6" w:rsidR="0069536E" w:rsidRPr="000F57AA" w:rsidRDefault="0069536E" w:rsidP="0069536E">
            <w:pPr>
              <w:ind w:right="90"/>
              <w:rPr>
                <w:sz w:val="22"/>
                <w:szCs w:val="22"/>
                <w:lang w:val="ro-RO" w:eastAsia="ru-RU"/>
                <w14:ligatures w14:val="standardContextual"/>
              </w:rPr>
            </w:pPr>
            <w:r w:rsidRPr="000F57AA">
              <w:rPr>
                <w:sz w:val="22"/>
                <w:szCs w:val="22"/>
                <w:lang w:val="ro-RO"/>
              </w:rPr>
              <w:t>{0090;0010}</w:t>
            </w:r>
          </w:p>
        </w:tc>
        <w:tc>
          <w:tcPr>
            <w:tcW w:w="8505" w:type="dxa"/>
            <w:gridSpan w:val="2"/>
          </w:tcPr>
          <w:p w14:paraId="17B9648C" w14:textId="77777777" w:rsidR="00005884" w:rsidRPr="000F57AA" w:rsidRDefault="0069536E" w:rsidP="00005884">
            <w:pPr>
              <w:ind w:right="90" w:firstLine="598"/>
              <w:rPr>
                <w:b/>
                <w:bCs/>
                <w:sz w:val="22"/>
                <w:szCs w:val="22"/>
                <w:lang w:val="ro-RO"/>
              </w:rPr>
            </w:pPr>
            <w:r w:rsidRPr="000F57AA">
              <w:rPr>
                <w:b/>
                <w:bCs/>
                <w:sz w:val="22"/>
                <w:szCs w:val="22"/>
                <w:lang w:val="ro-RO"/>
              </w:rPr>
              <w:t xml:space="preserve">Alte active – Valoarea contabilă din bilanţ </w:t>
            </w:r>
          </w:p>
          <w:p w14:paraId="28E759BC" w14:textId="1C983F19" w:rsidR="0069536E" w:rsidRPr="000F57AA" w:rsidRDefault="0069536E" w:rsidP="00005884">
            <w:pPr>
              <w:ind w:right="90" w:firstLine="598"/>
              <w:rPr>
                <w:sz w:val="22"/>
                <w:szCs w:val="22"/>
                <w:lang w:val="ro-RO"/>
              </w:rPr>
            </w:pPr>
            <w:r w:rsidRPr="000F57AA">
              <w:rPr>
                <w:sz w:val="22"/>
                <w:szCs w:val="22"/>
                <w:lang w:val="ro-RO"/>
              </w:rPr>
              <w:t xml:space="preserve">Cadrul contabil IFRS; </w:t>
            </w:r>
          </w:p>
          <w:p w14:paraId="1608CEA6" w14:textId="4E6A56CA"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valoarea contabilă din bilanţ, conform cadrului contabil IFRS, a tuturor activelor, cu excepţia contractelor enumerate în anexa nr.1 la Regulamentul nr.114/2018, a instrumentelor financiare derivate de credit și a SFT-urilor.</w:t>
            </w:r>
          </w:p>
        </w:tc>
      </w:tr>
      <w:tr w:rsidR="0069536E" w:rsidRPr="00A05A6A" w14:paraId="4C664C15" w14:textId="77777777" w:rsidTr="0077559D">
        <w:trPr>
          <w:trHeight w:val="161"/>
        </w:trPr>
        <w:tc>
          <w:tcPr>
            <w:tcW w:w="1129" w:type="dxa"/>
          </w:tcPr>
          <w:p w14:paraId="37265C78" w14:textId="142EA50F" w:rsidR="0069536E" w:rsidRPr="000F57AA" w:rsidRDefault="0069536E" w:rsidP="0069536E">
            <w:pPr>
              <w:ind w:right="90"/>
              <w:rPr>
                <w:sz w:val="22"/>
                <w:szCs w:val="22"/>
                <w:lang w:val="ro-RO" w:eastAsia="ru-RU"/>
                <w14:ligatures w14:val="standardContextual"/>
              </w:rPr>
            </w:pPr>
            <w:r w:rsidRPr="000F57AA">
              <w:rPr>
                <w:sz w:val="22"/>
                <w:szCs w:val="22"/>
                <w:lang w:val="ro-RO"/>
              </w:rPr>
              <w:t>{0090;0020}</w:t>
            </w:r>
          </w:p>
        </w:tc>
        <w:tc>
          <w:tcPr>
            <w:tcW w:w="8505" w:type="dxa"/>
            <w:gridSpan w:val="2"/>
          </w:tcPr>
          <w:p w14:paraId="5C7EEE6A" w14:textId="77777777" w:rsidR="0069536E" w:rsidRPr="000F57AA" w:rsidRDefault="0069536E" w:rsidP="00005884">
            <w:pPr>
              <w:ind w:right="90" w:firstLine="598"/>
              <w:rPr>
                <w:b/>
                <w:bCs/>
                <w:sz w:val="22"/>
                <w:szCs w:val="22"/>
                <w:lang w:val="ro-RO"/>
              </w:rPr>
            </w:pPr>
            <w:r w:rsidRPr="000F57AA">
              <w:rPr>
                <w:b/>
                <w:bCs/>
                <w:sz w:val="22"/>
                <w:szCs w:val="22"/>
                <w:lang w:val="ro-RO"/>
              </w:rPr>
              <w:t xml:space="preserve">Alte active – Valoarea contabilă presupunând că nu se recurge la compensare sau la altă tehnică CRM </w:t>
            </w:r>
          </w:p>
          <w:p w14:paraId="0C8D3AAB" w14:textId="77777777" w:rsidR="0069536E" w:rsidRPr="000F57AA" w:rsidRDefault="0069536E" w:rsidP="00005884">
            <w:pPr>
              <w:ind w:right="90" w:firstLine="598"/>
              <w:rPr>
                <w:sz w:val="22"/>
                <w:szCs w:val="22"/>
                <w:lang w:val="ro-RO"/>
              </w:rPr>
            </w:pPr>
            <w:r w:rsidRPr="000F57AA">
              <w:rPr>
                <w:sz w:val="22"/>
                <w:szCs w:val="22"/>
                <w:lang w:val="ro-RO"/>
              </w:rPr>
              <w:t xml:space="preserve">Cadrul contabil IFRS; </w:t>
            </w:r>
          </w:p>
          <w:p w14:paraId="55B64447" w14:textId="235D2E6A"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valoarea contabilă din bilanţ, conform cadrului contabil IFRS, a tuturor activelor, cu excepţia contractelor enumerate în anexa nr.1 la Regulamentul nr.114/2018, a instrumentelor financiare derivate de credit și a SFT-urilor, presupunând că nu există efecte ale compensării contabile ori alte efecte ale CRM (se reiau eventualele efecte ale compensării contabile sau ale CRM care s-au răsfrânt asupra valorii contabile).</w:t>
            </w:r>
          </w:p>
        </w:tc>
      </w:tr>
      <w:tr w:rsidR="0069536E" w:rsidRPr="00A05A6A" w14:paraId="578921F4" w14:textId="77777777" w:rsidTr="0077559D">
        <w:trPr>
          <w:trHeight w:val="161"/>
        </w:trPr>
        <w:tc>
          <w:tcPr>
            <w:tcW w:w="1129" w:type="dxa"/>
          </w:tcPr>
          <w:p w14:paraId="37B35B57" w14:textId="082EFEB1" w:rsidR="0069536E" w:rsidRPr="000F57AA" w:rsidRDefault="0069536E" w:rsidP="0069536E">
            <w:pPr>
              <w:ind w:right="90"/>
              <w:rPr>
                <w:sz w:val="22"/>
                <w:szCs w:val="22"/>
                <w:lang w:val="ro-RO" w:eastAsia="ru-RU"/>
                <w14:ligatures w14:val="standardContextual"/>
              </w:rPr>
            </w:pPr>
            <w:r w:rsidRPr="000F57AA">
              <w:rPr>
                <w:sz w:val="22"/>
                <w:szCs w:val="22"/>
                <w:lang w:val="ro-RO"/>
              </w:rPr>
              <w:t>{0095;0070}</w:t>
            </w:r>
          </w:p>
        </w:tc>
        <w:tc>
          <w:tcPr>
            <w:tcW w:w="8505" w:type="dxa"/>
            <w:gridSpan w:val="2"/>
          </w:tcPr>
          <w:p w14:paraId="0DED80FB" w14:textId="77777777" w:rsidR="0069536E" w:rsidRPr="000F57AA" w:rsidRDefault="0069536E" w:rsidP="00005884">
            <w:pPr>
              <w:ind w:right="90" w:firstLine="598"/>
              <w:rPr>
                <w:b/>
                <w:bCs/>
                <w:sz w:val="22"/>
                <w:szCs w:val="22"/>
                <w:lang w:val="ro-RO"/>
              </w:rPr>
            </w:pPr>
            <w:r w:rsidRPr="000F57AA">
              <w:rPr>
                <w:b/>
                <w:bCs/>
                <w:sz w:val="22"/>
                <w:szCs w:val="22"/>
                <w:lang w:val="ro-RO"/>
              </w:rPr>
              <w:t>Elemente extrabilanţiere</w:t>
            </w:r>
          </w:p>
          <w:p w14:paraId="6B79C4E5" w14:textId="77777777" w:rsidR="0069536E" w:rsidRPr="000F57AA" w:rsidRDefault="0069536E" w:rsidP="00005884">
            <w:pPr>
              <w:ind w:right="90" w:firstLine="598"/>
              <w:rPr>
                <w:sz w:val="22"/>
                <w:szCs w:val="22"/>
                <w:lang w:val="ro-RO"/>
              </w:rPr>
            </w:pPr>
            <w:r w:rsidRPr="000F57AA">
              <w:rPr>
                <w:sz w:val="22"/>
                <w:szCs w:val="22"/>
                <w:lang w:val="ro-RO"/>
              </w:rPr>
              <w:t>Băncile raportează valoarea nominală a elementelor extrabilanţiere. Din această valoare nu se scad ajustările specifice pentru riscul de credit.</w:t>
            </w:r>
          </w:p>
          <w:p w14:paraId="76C3FB35" w14:textId="344435DE"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nu iau în considerare în această celulă contractele enumerate în anexa nr.1 la Regulamentul nr.114/2018, instrumentele financiare derivate de credit și SFT-urile, în conformitate cu pct.</w:t>
            </w:r>
            <w:r w:rsidR="00004D14" w:rsidRPr="000F57AA">
              <w:rPr>
                <w:sz w:val="22"/>
                <w:szCs w:val="22"/>
                <w:lang w:val="ro-RO"/>
              </w:rPr>
              <w:t>61-62</w:t>
            </w:r>
            <w:r w:rsidRPr="000F57AA">
              <w:rPr>
                <w:sz w:val="22"/>
                <w:szCs w:val="22"/>
                <w:lang w:val="ro-RO"/>
              </w:rPr>
              <w:t xml:space="preserve"> din Regulamentul nr.XX/2025.</w:t>
            </w:r>
          </w:p>
        </w:tc>
      </w:tr>
      <w:tr w:rsidR="0069536E" w:rsidRPr="00A05A6A" w14:paraId="0E4BDEB1" w14:textId="77777777" w:rsidTr="0077559D">
        <w:trPr>
          <w:trHeight w:val="161"/>
        </w:trPr>
        <w:tc>
          <w:tcPr>
            <w:tcW w:w="1129" w:type="dxa"/>
          </w:tcPr>
          <w:p w14:paraId="19E1F3D5" w14:textId="566DD51B" w:rsidR="0069536E" w:rsidRPr="000F57AA" w:rsidRDefault="0069536E" w:rsidP="0069536E">
            <w:pPr>
              <w:ind w:right="90"/>
              <w:rPr>
                <w:sz w:val="22"/>
                <w:szCs w:val="22"/>
                <w:lang w:val="ro-RO" w:eastAsia="ru-RU"/>
                <w14:ligatures w14:val="standardContextual"/>
              </w:rPr>
            </w:pPr>
            <w:r w:rsidRPr="000F57AA">
              <w:rPr>
                <w:sz w:val="22"/>
                <w:szCs w:val="22"/>
                <w:lang w:val="ro-RO"/>
              </w:rPr>
              <w:t>{0210;0020}</w:t>
            </w:r>
          </w:p>
        </w:tc>
        <w:tc>
          <w:tcPr>
            <w:tcW w:w="8505" w:type="dxa"/>
            <w:gridSpan w:val="2"/>
          </w:tcPr>
          <w:p w14:paraId="6995BC7C" w14:textId="77777777" w:rsidR="00005884" w:rsidRPr="000F57AA" w:rsidRDefault="0069536E" w:rsidP="00005884">
            <w:pPr>
              <w:ind w:right="90" w:firstLine="598"/>
              <w:rPr>
                <w:b/>
                <w:bCs/>
                <w:sz w:val="22"/>
                <w:szCs w:val="22"/>
                <w:lang w:val="ro-RO"/>
              </w:rPr>
            </w:pPr>
            <w:r w:rsidRPr="000F57AA">
              <w:rPr>
                <w:b/>
                <w:bCs/>
                <w:sz w:val="22"/>
                <w:szCs w:val="22"/>
                <w:lang w:val="ro-RO"/>
              </w:rPr>
              <w:t xml:space="preserve">Garanţii reale sub formă de numerar primite în operaţiuni cu instrumente financiare derivate – Valoarea contabilă, presupunând că nu se recurge la compensare sau la altă tehnică CRM </w:t>
            </w:r>
          </w:p>
          <w:p w14:paraId="4E953FC1" w14:textId="2FE30A51" w:rsidR="0069536E" w:rsidRPr="000F57AA" w:rsidRDefault="0069536E" w:rsidP="00005884">
            <w:pPr>
              <w:ind w:right="90" w:firstLine="598"/>
              <w:rPr>
                <w:sz w:val="22"/>
                <w:szCs w:val="22"/>
                <w:lang w:val="ro-RO"/>
              </w:rPr>
            </w:pPr>
            <w:r w:rsidRPr="000F57AA">
              <w:rPr>
                <w:sz w:val="22"/>
                <w:szCs w:val="22"/>
                <w:lang w:val="ro-RO"/>
              </w:rPr>
              <w:t>Valoarea contabilă din bilanţ, conform cadrului contabil IFRS, a garanţiilor reale sub formă de numerar primite în operaţiuni cu instrumente financiare derivate, presupunând că nu există efecte ale compensării contabile ori alte efecte ale CRM (se reiau eventualele efecte ale compensării contabile sau ale CRM care s-au răsfrânt asupra valorii contabile).</w:t>
            </w:r>
          </w:p>
          <w:p w14:paraId="0C5404E1" w14:textId="4EBBABE0"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lastRenderedPageBreak/>
              <w:t>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Băncile nu înscriu în această celulă numerarul sub formă de depozit deţinut la alte bănci.</w:t>
            </w:r>
          </w:p>
        </w:tc>
      </w:tr>
      <w:tr w:rsidR="0069536E" w:rsidRPr="00A05A6A" w14:paraId="051C2A95" w14:textId="77777777" w:rsidTr="0077559D">
        <w:trPr>
          <w:trHeight w:val="161"/>
        </w:trPr>
        <w:tc>
          <w:tcPr>
            <w:tcW w:w="1129" w:type="dxa"/>
          </w:tcPr>
          <w:p w14:paraId="5B4A5E41" w14:textId="792E4706" w:rsidR="0069536E" w:rsidRPr="000F57AA" w:rsidRDefault="0069536E" w:rsidP="0069536E">
            <w:pPr>
              <w:ind w:right="90"/>
              <w:rPr>
                <w:sz w:val="22"/>
                <w:szCs w:val="22"/>
                <w:lang w:val="ro-RO" w:eastAsia="ru-RU"/>
                <w14:ligatures w14:val="standardContextual"/>
              </w:rPr>
            </w:pPr>
            <w:r w:rsidRPr="000F57AA">
              <w:rPr>
                <w:sz w:val="22"/>
                <w:szCs w:val="22"/>
                <w:lang w:val="ro-RO"/>
              </w:rPr>
              <w:lastRenderedPageBreak/>
              <w:t>{0220;0020}</w:t>
            </w:r>
          </w:p>
        </w:tc>
        <w:tc>
          <w:tcPr>
            <w:tcW w:w="8505" w:type="dxa"/>
            <w:gridSpan w:val="2"/>
          </w:tcPr>
          <w:p w14:paraId="72196BE0" w14:textId="77777777" w:rsidR="00005884" w:rsidRPr="000F57AA" w:rsidRDefault="0069536E" w:rsidP="00005884">
            <w:pPr>
              <w:ind w:right="90" w:firstLine="598"/>
              <w:rPr>
                <w:b/>
                <w:bCs/>
                <w:sz w:val="22"/>
                <w:szCs w:val="22"/>
                <w:lang w:val="ro-RO"/>
              </w:rPr>
            </w:pPr>
            <w:r w:rsidRPr="000F57AA">
              <w:rPr>
                <w:b/>
                <w:bCs/>
                <w:sz w:val="22"/>
                <w:szCs w:val="22"/>
                <w:lang w:val="ro-RO"/>
              </w:rPr>
              <w:t xml:space="preserve">Creanţe pentru garanţii reale sub formă de numerar furnizate în operaţiunile cu instrumente financiare derivate – Valoarea contabilă, presupunând că nu se recurge la compensare sau la altă tehnică CRM </w:t>
            </w:r>
          </w:p>
          <w:p w14:paraId="7F67B367" w14:textId="4073C63E" w:rsidR="0069536E" w:rsidRPr="000F57AA" w:rsidRDefault="0069536E" w:rsidP="00005884">
            <w:pPr>
              <w:ind w:right="90" w:firstLine="598"/>
              <w:rPr>
                <w:sz w:val="22"/>
                <w:szCs w:val="22"/>
                <w:lang w:val="ro-RO"/>
              </w:rPr>
            </w:pPr>
            <w:r w:rsidRPr="000F57AA">
              <w:rPr>
                <w:sz w:val="22"/>
                <w:szCs w:val="22"/>
                <w:lang w:val="ro-RO"/>
              </w:rPr>
              <w:t xml:space="preserve">Valoarea contabilă din bilanţ, conform cadrului contabil aplicabil, a creanţelor pentru garanţii reale sub formă de numerar furnizate în operaţiunile cu instrumente financiare derivate, presupunând că nu există efecte ale compensării contabile ori alte efecte ale CRM (se reiau eventualele efecte ale compensării contabile sau ale CRM care s-au răsfrânt asupra valorii contabile). </w:t>
            </w:r>
          </w:p>
          <w:p w14:paraId="4F0EC804" w14:textId="485A6AEE"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Băncile care sunt autorizate, conform cadrului contabil aplicabil, să compenseze creanţa pentru garanţia reală sub formă de numerar furnizată cu datoria rezultată din instrumentul financiar derivat respectiv (valoare justă negativă) și care decid să procedeze astfel anulează compensarea și raportează creanţa în numerar netă.</w:t>
            </w:r>
          </w:p>
        </w:tc>
      </w:tr>
      <w:tr w:rsidR="0069536E" w:rsidRPr="00A05A6A" w14:paraId="05E39E5B" w14:textId="77777777" w:rsidTr="0077559D">
        <w:trPr>
          <w:trHeight w:val="161"/>
        </w:trPr>
        <w:tc>
          <w:tcPr>
            <w:tcW w:w="1129" w:type="dxa"/>
          </w:tcPr>
          <w:p w14:paraId="08AD456F" w14:textId="670A0032" w:rsidR="0069536E" w:rsidRPr="000F57AA" w:rsidRDefault="0069536E" w:rsidP="0069536E">
            <w:pPr>
              <w:ind w:right="90"/>
              <w:rPr>
                <w:sz w:val="22"/>
                <w:szCs w:val="22"/>
                <w:lang w:val="ro-RO" w:eastAsia="ru-RU"/>
                <w14:ligatures w14:val="standardContextual"/>
              </w:rPr>
            </w:pPr>
            <w:r w:rsidRPr="000F57AA">
              <w:rPr>
                <w:sz w:val="22"/>
                <w:szCs w:val="22"/>
                <w:lang w:val="ro-RO"/>
              </w:rPr>
              <w:t>{0230;0020}</w:t>
            </w:r>
          </w:p>
        </w:tc>
        <w:tc>
          <w:tcPr>
            <w:tcW w:w="8505" w:type="dxa"/>
            <w:gridSpan w:val="2"/>
          </w:tcPr>
          <w:p w14:paraId="5FF4C05E" w14:textId="77777777" w:rsidR="00005884" w:rsidRPr="000F57AA" w:rsidRDefault="0069536E" w:rsidP="0069536E">
            <w:pPr>
              <w:ind w:right="90" w:firstLine="530"/>
              <w:rPr>
                <w:b/>
                <w:bCs/>
                <w:sz w:val="22"/>
                <w:szCs w:val="22"/>
                <w:lang w:val="ro-RO"/>
              </w:rPr>
            </w:pPr>
            <w:r w:rsidRPr="000F57AA">
              <w:rPr>
                <w:b/>
                <w:bCs/>
                <w:sz w:val="22"/>
                <w:szCs w:val="22"/>
                <w:lang w:val="ro-RO"/>
              </w:rPr>
              <w:t xml:space="preserve">Titluri primite în cadrul unui SFT și recunoscute ca active – Valoarea contabilă, presupunând că nu se recurge la compensare sau la altă tehnică CRM </w:t>
            </w:r>
          </w:p>
          <w:p w14:paraId="7A4D6333" w14:textId="22C99911"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 xml:space="preserve">Valoarea contabilă din bilanţ, conform cadrului contabil aplicabil, a titlurilor primite în cadrul unui SFT și recunoscute ca active în cadrul contabil aplicabil, presupunând că nu există efecte ale compensării contabile ori alte efecte ale CRM (se reiau eventualele efecte ale compensării contabile sau ale CRM care s-au răsfrânt asupra valorii contabile). </w:t>
            </w:r>
          </w:p>
        </w:tc>
      </w:tr>
      <w:tr w:rsidR="0069536E" w:rsidRPr="00A05A6A" w14:paraId="3EC74997" w14:textId="77777777" w:rsidTr="0077559D">
        <w:trPr>
          <w:trHeight w:val="161"/>
        </w:trPr>
        <w:tc>
          <w:tcPr>
            <w:tcW w:w="1129" w:type="dxa"/>
          </w:tcPr>
          <w:p w14:paraId="34662922" w14:textId="65A03502" w:rsidR="0069536E" w:rsidRPr="000F57AA" w:rsidRDefault="0069536E" w:rsidP="0069536E">
            <w:pPr>
              <w:ind w:right="90"/>
              <w:rPr>
                <w:sz w:val="22"/>
                <w:szCs w:val="22"/>
                <w:lang w:val="ro-RO" w:eastAsia="ru-RU"/>
                <w14:ligatures w14:val="standardContextual"/>
              </w:rPr>
            </w:pPr>
            <w:r w:rsidRPr="000F57AA">
              <w:rPr>
                <w:sz w:val="22"/>
                <w:szCs w:val="22"/>
                <w:lang w:val="ro-RO"/>
              </w:rPr>
              <w:t>{0240;0020}</w:t>
            </w:r>
          </w:p>
        </w:tc>
        <w:tc>
          <w:tcPr>
            <w:tcW w:w="8505" w:type="dxa"/>
            <w:gridSpan w:val="2"/>
          </w:tcPr>
          <w:p w14:paraId="3FC74766" w14:textId="77777777" w:rsidR="00005884" w:rsidRPr="000F57AA" w:rsidRDefault="0069536E" w:rsidP="00005884">
            <w:pPr>
              <w:ind w:right="90" w:firstLine="598"/>
              <w:rPr>
                <w:b/>
                <w:bCs/>
                <w:sz w:val="22"/>
                <w:szCs w:val="22"/>
                <w:lang w:val="ro-RO"/>
              </w:rPr>
            </w:pPr>
            <w:r w:rsidRPr="000F57AA">
              <w:rPr>
                <w:b/>
                <w:bCs/>
                <w:sz w:val="22"/>
                <w:szCs w:val="22"/>
                <w:lang w:val="ro-RO"/>
              </w:rPr>
              <w:t xml:space="preserve">Numerar dat cu împrumut, prin intermediere, în cadrul SFT-urilor (creanţe în numerar) – Valoarea contabilă, presupunând că nu se recurge la compensare sau la altă tehnică CRM </w:t>
            </w:r>
          </w:p>
          <w:p w14:paraId="4E1E8AA2" w14:textId="7B4FAE61" w:rsidR="0069536E" w:rsidRPr="000F57AA" w:rsidRDefault="0069536E" w:rsidP="00005884">
            <w:pPr>
              <w:ind w:right="90" w:firstLine="598"/>
              <w:rPr>
                <w:sz w:val="22"/>
                <w:szCs w:val="22"/>
                <w:lang w:val="ro-RO"/>
              </w:rPr>
            </w:pPr>
            <w:r w:rsidRPr="000F57AA">
              <w:rPr>
                <w:sz w:val="22"/>
                <w:szCs w:val="22"/>
                <w:lang w:val="ro-RO"/>
              </w:rPr>
              <w:t>Valoarea contabilă din bilanţ, conform cadrului contabil aplicabil, a creanţei în numerar pentru numerarul dat cu împrumut, prin intermediere, proprietarului titlurilor în cadrul unei tranzacţii eligibile de dare cu împrumut de numerar prin intermediere (</w:t>
            </w:r>
            <w:r w:rsidRPr="000F57AA">
              <w:rPr>
                <w:i/>
                <w:iCs/>
                <w:sz w:val="22"/>
                <w:szCs w:val="22"/>
                <w:lang w:val="ro-RO"/>
              </w:rPr>
              <w:t>cash conduit lending transaction</w:t>
            </w:r>
            <w:r w:rsidRPr="000F57AA">
              <w:rPr>
                <w:sz w:val="22"/>
                <w:szCs w:val="22"/>
                <w:lang w:val="ro-RO"/>
              </w:rPr>
              <w:t xml:space="preserve">, CCLT), presupunând că nu există efecte ale compensării contabile ori alte efecte ale CRM (se reiau eventualele efecte ale compensării contabile sau ale CRM care s-au răsfrânt asupra valorii contabile). </w:t>
            </w:r>
          </w:p>
          <w:p w14:paraId="04B93AD4" w14:textId="77777777" w:rsidR="0069536E" w:rsidRPr="000F57AA" w:rsidRDefault="0069536E" w:rsidP="00005884">
            <w:pPr>
              <w:ind w:right="90" w:firstLine="598"/>
              <w:rPr>
                <w:sz w:val="22"/>
                <w:szCs w:val="22"/>
                <w:lang w:val="ro-RO"/>
              </w:rPr>
            </w:pPr>
            <w:r w:rsidRPr="000F57AA">
              <w:rPr>
                <w:sz w:val="22"/>
                <w:szCs w:val="22"/>
                <w:lang w:val="ro-RO"/>
              </w:rPr>
              <w:t xml:space="preserve">Pentru această celulă, numerar înseamnă cuantumul total al numerarului, inclusiv monede și bancnote/valută. Cuantumul total al depozitelor deţinute la băncile centrale este luat în considerare în măsura în care depozitele respective pot fi retrase în situaţii de criză. Băncile nu raportează în această celulă numerarul sub formă de depozit deţinut la alte bănci. </w:t>
            </w:r>
          </w:p>
          <w:p w14:paraId="51127F8D" w14:textId="77777777" w:rsidR="0069536E" w:rsidRPr="000F57AA" w:rsidRDefault="0069536E" w:rsidP="00005884">
            <w:pPr>
              <w:ind w:right="90" w:firstLine="598"/>
              <w:rPr>
                <w:sz w:val="22"/>
                <w:szCs w:val="22"/>
                <w:lang w:val="ro-RO"/>
              </w:rPr>
            </w:pPr>
            <w:r w:rsidRPr="000F57AA">
              <w:rPr>
                <w:sz w:val="22"/>
                <w:szCs w:val="22"/>
                <w:lang w:val="ro-RO"/>
              </w:rPr>
              <w:t>CCLT reprezintă o combinaţie de două tranzacţii, în care o bancă ia cu împrumut titluri de la proprietarul titlurilor și le dă cu împrumut împrumutătorului titlurilor. În același timp, banca primește garanţii reale sub formă de numerar de la împrumutătorul titlurilor și dă cu împrumut numerarul primit proprietarului titlurilor. Un CCLT eligibil îndeplinește următoarele condiţii:</w:t>
            </w:r>
          </w:p>
          <w:p w14:paraId="60085A40" w14:textId="77777777" w:rsidR="001F3E19" w:rsidRPr="000F57AA" w:rsidRDefault="0069536E" w:rsidP="00005884">
            <w:pPr>
              <w:ind w:right="90" w:firstLine="598"/>
              <w:rPr>
                <w:sz w:val="22"/>
                <w:szCs w:val="22"/>
                <w:lang w:val="ro-RO"/>
              </w:rPr>
            </w:pPr>
            <w:r w:rsidRPr="000F57AA">
              <w:rPr>
                <w:sz w:val="22"/>
                <w:szCs w:val="22"/>
                <w:lang w:val="ro-RO"/>
              </w:rPr>
              <w:t xml:space="preserve">(a) ambele tranzacţii care compun CCLT-ul eligibil se efectuează la aceeași dată de tranzacţionare sau, în cazul tranzacţiilor internaţionale, în zile lucrătoare consecutive; </w:t>
            </w:r>
          </w:p>
          <w:p w14:paraId="4DB42854" w14:textId="33AF1D6B" w:rsidR="0069536E" w:rsidRPr="000F57AA" w:rsidRDefault="0069536E" w:rsidP="00005884">
            <w:pPr>
              <w:ind w:right="90" w:firstLine="598"/>
              <w:rPr>
                <w:sz w:val="22"/>
                <w:szCs w:val="22"/>
                <w:lang w:val="ro-RO"/>
              </w:rPr>
            </w:pPr>
            <w:r w:rsidRPr="000F57AA">
              <w:rPr>
                <w:sz w:val="22"/>
                <w:szCs w:val="22"/>
                <w:lang w:val="ro-RO"/>
              </w:rPr>
              <w:t xml:space="preserve">(b) dacă pentru tranzacţiile care compun CCLT-ul nu se precizează o scadenţă, banca are dreptul legal să lichideze oricare dintre părţile CCLT-ului, respectiv ambele tranzacţii componente, în orice moment și fără notificare prealabilă; </w:t>
            </w:r>
          </w:p>
          <w:p w14:paraId="137BEBC5" w14:textId="77777777" w:rsidR="0069536E" w:rsidRPr="000F57AA" w:rsidRDefault="0069536E" w:rsidP="00005884">
            <w:pPr>
              <w:ind w:right="90" w:firstLine="598"/>
              <w:rPr>
                <w:sz w:val="22"/>
                <w:szCs w:val="22"/>
                <w:lang w:val="ro-RO"/>
              </w:rPr>
            </w:pPr>
            <w:r w:rsidRPr="000F57AA">
              <w:rPr>
                <w:sz w:val="22"/>
                <w:szCs w:val="22"/>
                <w:lang w:val="ro-RO"/>
              </w:rPr>
              <w:t xml:space="preserve">(c) dacă pentru tranzacţiile componente se precizează o scadenţă, CCLT-ul nu creează neconcordanţe de scadenţe pentru bancă; banca are dreptul legal să lichideze oricare dintre părţile CCLT-ului, respectiv ambele tranzacţii componente, în orice moment și fără notificare prealabilă; </w:t>
            </w:r>
          </w:p>
          <w:p w14:paraId="4E44C1B0" w14:textId="1410A276" w:rsidR="0069536E" w:rsidRPr="000F57AA" w:rsidRDefault="0069536E" w:rsidP="0069536E">
            <w:pPr>
              <w:ind w:right="90" w:firstLine="530"/>
              <w:rPr>
                <w:b/>
                <w:bCs/>
                <w:sz w:val="22"/>
                <w:szCs w:val="22"/>
                <w:lang w:val="ro-RO" w:eastAsia="ru-RU"/>
                <w14:ligatures w14:val="standardContextual"/>
              </w:rPr>
            </w:pPr>
            <w:r w:rsidRPr="000F57AA">
              <w:rPr>
                <w:sz w:val="22"/>
                <w:szCs w:val="22"/>
                <w:lang w:val="ro-RO"/>
              </w:rPr>
              <w:t xml:space="preserve">(d) CCLT-ul nu creează alte expuneri suplimentare. </w:t>
            </w:r>
          </w:p>
        </w:tc>
      </w:tr>
      <w:tr w:rsidR="0069536E" w:rsidRPr="000F57AA" w14:paraId="09DBD999" w14:textId="77777777" w:rsidTr="0077559D">
        <w:trPr>
          <w:trHeight w:val="161"/>
        </w:trPr>
        <w:tc>
          <w:tcPr>
            <w:tcW w:w="1129" w:type="dxa"/>
          </w:tcPr>
          <w:p w14:paraId="616B41E0" w14:textId="2C2FC7C6" w:rsidR="0069536E" w:rsidRPr="000F57AA" w:rsidRDefault="0069536E" w:rsidP="0069536E">
            <w:pPr>
              <w:ind w:right="90"/>
              <w:rPr>
                <w:sz w:val="22"/>
                <w:szCs w:val="22"/>
                <w:lang w:val="ro-RO" w:eastAsia="ru-RU"/>
                <w14:ligatures w14:val="standardContextual"/>
              </w:rPr>
            </w:pPr>
            <w:r w:rsidRPr="000F57AA">
              <w:rPr>
                <w:sz w:val="22"/>
                <w:szCs w:val="22"/>
                <w:lang w:val="ro-RO"/>
              </w:rPr>
              <w:t>{0270;0010}</w:t>
            </w:r>
          </w:p>
        </w:tc>
        <w:tc>
          <w:tcPr>
            <w:tcW w:w="7230" w:type="dxa"/>
          </w:tcPr>
          <w:p w14:paraId="32F626CA" w14:textId="387B763E" w:rsidR="0069536E" w:rsidRPr="000F57AA" w:rsidRDefault="0069536E" w:rsidP="00005884">
            <w:pPr>
              <w:ind w:right="90" w:firstLine="598"/>
              <w:rPr>
                <w:b/>
                <w:bCs/>
                <w:sz w:val="22"/>
                <w:szCs w:val="22"/>
                <w:lang w:val="ro-RO" w:eastAsia="ru-RU"/>
                <w14:ligatures w14:val="standardContextual"/>
              </w:rPr>
            </w:pPr>
            <w:r w:rsidRPr="000F57AA">
              <w:rPr>
                <w:b/>
                <w:bCs/>
                <w:sz w:val="22"/>
                <w:szCs w:val="22"/>
                <w:lang w:val="ro-RO"/>
              </w:rPr>
              <w:t xml:space="preserve">Investiţii în sectorul public – Creanţe asupra administraţiilor centrale – Valoarea contabilă din bilanţ </w:t>
            </w:r>
          </w:p>
        </w:tc>
        <w:tc>
          <w:tcPr>
            <w:tcW w:w="1275" w:type="dxa"/>
          </w:tcPr>
          <w:p w14:paraId="6ACB0716" w14:textId="62E809D2" w:rsidR="0069536E" w:rsidRPr="000F57AA" w:rsidRDefault="0069536E" w:rsidP="0069536E">
            <w:pPr>
              <w:ind w:right="90"/>
              <w:rPr>
                <w:sz w:val="22"/>
                <w:szCs w:val="22"/>
                <w:lang w:val="ro-RO" w:eastAsia="ru-RU"/>
                <w14:ligatures w14:val="standardContextual"/>
              </w:rPr>
            </w:pPr>
            <w:r w:rsidRPr="000F57AA">
              <w:rPr>
                <w:sz w:val="22"/>
                <w:szCs w:val="22"/>
                <w:lang w:val="ro-RO" w:eastAsia="ru-RU"/>
                <w14:ligatures w14:val="standardContextual"/>
              </w:rPr>
              <w:t>blocat</w:t>
            </w:r>
          </w:p>
        </w:tc>
      </w:tr>
      <w:tr w:rsidR="0069536E" w:rsidRPr="000F57AA" w14:paraId="79501AAA" w14:textId="77777777" w:rsidTr="0077559D">
        <w:trPr>
          <w:trHeight w:val="161"/>
        </w:trPr>
        <w:tc>
          <w:tcPr>
            <w:tcW w:w="1129" w:type="dxa"/>
          </w:tcPr>
          <w:p w14:paraId="559DEFF4" w14:textId="1DF35977" w:rsidR="0069536E" w:rsidRPr="000F57AA" w:rsidRDefault="0069536E" w:rsidP="0069536E">
            <w:pPr>
              <w:ind w:right="90"/>
              <w:rPr>
                <w:sz w:val="22"/>
                <w:szCs w:val="22"/>
                <w:lang w:val="ro-RO" w:eastAsia="ru-RU"/>
                <w14:ligatures w14:val="standardContextual"/>
              </w:rPr>
            </w:pPr>
            <w:r w:rsidRPr="000F57AA">
              <w:rPr>
                <w:sz w:val="22"/>
                <w:szCs w:val="22"/>
                <w:lang w:val="ro-RO"/>
              </w:rPr>
              <w:t>{0280;0010}</w:t>
            </w:r>
          </w:p>
        </w:tc>
        <w:tc>
          <w:tcPr>
            <w:tcW w:w="7230" w:type="dxa"/>
          </w:tcPr>
          <w:p w14:paraId="690EBD7C" w14:textId="15AD46F5" w:rsidR="0069536E" w:rsidRPr="000F57AA" w:rsidRDefault="0069536E" w:rsidP="00005884">
            <w:pPr>
              <w:ind w:right="90" w:firstLine="598"/>
              <w:rPr>
                <w:b/>
                <w:bCs/>
                <w:sz w:val="22"/>
                <w:szCs w:val="22"/>
                <w:lang w:val="ro-RO" w:eastAsia="ru-RU"/>
                <w14:ligatures w14:val="standardContextual"/>
              </w:rPr>
            </w:pPr>
            <w:r w:rsidRPr="000F57AA">
              <w:rPr>
                <w:b/>
                <w:bCs/>
                <w:sz w:val="22"/>
                <w:szCs w:val="22"/>
                <w:lang w:val="ro-RO"/>
              </w:rPr>
              <w:t xml:space="preserve">Investiţii în sectorul public – Creanţe asupra administraţiilor regionale – Valoarea contabilă din bilanţ </w:t>
            </w:r>
          </w:p>
        </w:tc>
        <w:tc>
          <w:tcPr>
            <w:tcW w:w="1275" w:type="dxa"/>
          </w:tcPr>
          <w:p w14:paraId="270B5888" w14:textId="7EE1A8D5" w:rsidR="0069536E" w:rsidRPr="000F57AA" w:rsidRDefault="0069536E" w:rsidP="0069536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9536E" w:rsidRPr="000F57AA" w14:paraId="29A8512A" w14:textId="77777777" w:rsidTr="0077559D">
        <w:trPr>
          <w:trHeight w:val="161"/>
        </w:trPr>
        <w:tc>
          <w:tcPr>
            <w:tcW w:w="1129" w:type="dxa"/>
          </w:tcPr>
          <w:p w14:paraId="53F37110" w14:textId="4BB3DC66" w:rsidR="0069536E" w:rsidRPr="000F57AA" w:rsidRDefault="0069536E" w:rsidP="0069536E">
            <w:pPr>
              <w:ind w:right="90"/>
              <w:rPr>
                <w:sz w:val="22"/>
                <w:szCs w:val="22"/>
                <w:lang w:val="ro-RO" w:eastAsia="ru-RU"/>
                <w14:ligatures w14:val="standardContextual"/>
              </w:rPr>
            </w:pPr>
            <w:r w:rsidRPr="000F57AA">
              <w:rPr>
                <w:sz w:val="22"/>
                <w:szCs w:val="22"/>
                <w:lang w:val="ro-RO"/>
              </w:rPr>
              <w:t>{0290;0010}</w:t>
            </w:r>
          </w:p>
        </w:tc>
        <w:tc>
          <w:tcPr>
            <w:tcW w:w="7230" w:type="dxa"/>
          </w:tcPr>
          <w:p w14:paraId="1D8F024C" w14:textId="7F1458FD" w:rsidR="0069536E" w:rsidRPr="000F57AA" w:rsidRDefault="0069536E" w:rsidP="00005884">
            <w:pPr>
              <w:ind w:right="90" w:firstLine="598"/>
              <w:rPr>
                <w:b/>
                <w:bCs/>
                <w:sz w:val="22"/>
                <w:szCs w:val="22"/>
                <w:lang w:val="ro-RO" w:eastAsia="ru-RU"/>
                <w14:ligatures w14:val="standardContextual"/>
              </w:rPr>
            </w:pPr>
            <w:r w:rsidRPr="000F57AA">
              <w:rPr>
                <w:b/>
                <w:bCs/>
                <w:sz w:val="22"/>
                <w:szCs w:val="22"/>
                <w:lang w:val="ro-RO"/>
              </w:rPr>
              <w:t xml:space="preserve">Investiţii în sectorul public – Creanţe asupra autorităţilor locale – Valoarea contabilă din bilanţ </w:t>
            </w:r>
          </w:p>
        </w:tc>
        <w:tc>
          <w:tcPr>
            <w:tcW w:w="1275" w:type="dxa"/>
          </w:tcPr>
          <w:p w14:paraId="3D456108" w14:textId="4CBE380C" w:rsidR="0069536E" w:rsidRPr="000F57AA" w:rsidRDefault="0069536E" w:rsidP="0069536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9536E" w:rsidRPr="000F57AA" w14:paraId="22AE5E92" w14:textId="77777777" w:rsidTr="0077559D">
        <w:trPr>
          <w:trHeight w:val="161"/>
        </w:trPr>
        <w:tc>
          <w:tcPr>
            <w:tcW w:w="1129" w:type="dxa"/>
          </w:tcPr>
          <w:p w14:paraId="2303E868" w14:textId="572AB5FF" w:rsidR="0069536E" w:rsidRPr="000F57AA" w:rsidRDefault="0069536E" w:rsidP="0069536E">
            <w:pPr>
              <w:ind w:right="90"/>
              <w:rPr>
                <w:sz w:val="22"/>
                <w:szCs w:val="22"/>
                <w:lang w:val="ro-RO" w:eastAsia="ru-RU"/>
                <w14:ligatures w14:val="standardContextual"/>
              </w:rPr>
            </w:pPr>
            <w:r w:rsidRPr="000F57AA">
              <w:rPr>
                <w:sz w:val="22"/>
                <w:szCs w:val="22"/>
                <w:lang w:val="ro-RO"/>
              </w:rPr>
              <w:lastRenderedPageBreak/>
              <w:t>{0300;0010}</w:t>
            </w:r>
          </w:p>
        </w:tc>
        <w:tc>
          <w:tcPr>
            <w:tcW w:w="7230" w:type="dxa"/>
          </w:tcPr>
          <w:p w14:paraId="7B8C74AE" w14:textId="182BB958" w:rsidR="0069536E" w:rsidRPr="000F57AA" w:rsidRDefault="0069536E" w:rsidP="00005884">
            <w:pPr>
              <w:ind w:right="90" w:firstLine="598"/>
              <w:rPr>
                <w:b/>
                <w:bCs/>
                <w:sz w:val="22"/>
                <w:szCs w:val="22"/>
                <w:lang w:val="ro-RO" w:eastAsia="ru-RU"/>
                <w14:ligatures w14:val="standardContextual"/>
              </w:rPr>
            </w:pPr>
            <w:r w:rsidRPr="000F57AA">
              <w:rPr>
                <w:b/>
                <w:bCs/>
                <w:sz w:val="22"/>
                <w:szCs w:val="22"/>
                <w:lang w:val="ro-RO"/>
              </w:rPr>
              <w:t xml:space="preserve">Investiţii în sectorul public – Creanţe asupra entităţilor din sectorul public – Valoarea contabilă din bilanţ </w:t>
            </w:r>
          </w:p>
        </w:tc>
        <w:tc>
          <w:tcPr>
            <w:tcW w:w="1275" w:type="dxa"/>
          </w:tcPr>
          <w:p w14:paraId="67F7A629" w14:textId="66677444" w:rsidR="0069536E" w:rsidRPr="000F57AA" w:rsidRDefault="0069536E" w:rsidP="0069536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2BED42C9" w14:textId="77777777" w:rsidTr="0077559D">
        <w:trPr>
          <w:trHeight w:val="161"/>
        </w:trPr>
        <w:tc>
          <w:tcPr>
            <w:tcW w:w="1129" w:type="dxa"/>
          </w:tcPr>
          <w:p w14:paraId="4F6E2B88" w14:textId="5098D244" w:rsidR="00577D1A" w:rsidRPr="000F57AA" w:rsidRDefault="00577D1A" w:rsidP="00577D1A">
            <w:pPr>
              <w:ind w:right="90"/>
              <w:rPr>
                <w:sz w:val="22"/>
                <w:szCs w:val="22"/>
                <w:lang w:val="ro-RO" w:eastAsia="ru-RU"/>
                <w14:ligatures w14:val="standardContextual"/>
              </w:rPr>
            </w:pPr>
            <w:r w:rsidRPr="000F57AA">
              <w:rPr>
                <w:sz w:val="22"/>
                <w:szCs w:val="22"/>
                <w:lang w:val="ro-RO"/>
              </w:rPr>
              <w:t>{0310;0010}</w:t>
            </w:r>
          </w:p>
        </w:tc>
        <w:tc>
          <w:tcPr>
            <w:tcW w:w="7230" w:type="dxa"/>
          </w:tcPr>
          <w:p w14:paraId="56FCE107" w14:textId="2A6FE2BA"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administraţiilor centrale – Valoarea contabilă din bilanţ </w:t>
            </w:r>
          </w:p>
        </w:tc>
        <w:tc>
          <w:tcPr>
            <w:tcW w:w="1275" w:type="dxa"/>
          </w:tcPr>
          <w:p w14:paraId="5088D201" w14:textId="488E075B"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6E53F768" w14:textId="77777777" w:rsidTr="0077559D">
        <w:trPr>
          <w:trHeight w:val="161"/>
        </w:trPr>
        <w:tc>
          <w:tcPr>
            <w:tcW w:w="1129" w:type="dxa"/>
          </w:tcPr>
          <w:p w14:paraId="66214A8A" w14:textId="7A6F6DA3" w:rsidR="00577D1A" w:rsidRPr="000F57AA" w:rsidRDefault="00577D1A" w:rsidP="00577D1A">
            <w:pPr>
              <w:ind w:right="90"/>
              <w:rPr>
                <w:sz w:val="22"/>
                <w:szCs w:val="22"/>
                <w:lang w:val="ro-RO" w:eastAsia="ru-RU"/>
                <w14:ligatures w14:val="standardContextual"/>
              </w:rPr>
            </w:pPr>
            <w:r w:rsidRPr="000F57AA">
              <w:rPr>
                <w:sz w:val="22"/>
                <w:szCs w:val="22"/>
                <w:lang w:val="ro-RO"/>
              </w:rPr>
              <w:t>{0310;0070}</w:t>
            </w:r>
          </w:p>
        </w:tc>
        <w:tc>
          <w:tcPr>
            <w:tcW w:w="7230" w:type="dxa"/>
          </w:tcPr>
          <w:p w14:paraId="0CE5155B" w14:textId="3E2F44BD"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administraţiilor centrale – Cuantumul noţional/valoarea nominală </w:t>
            </w:r>
          </w:p>
        </w:tc>
        <w:tc>
          <w:tcPr>
            <w:tcW w:w="1275" w:type="dxa"/>
          </w:tcPr>
          <w:p w14:paraId="2635859F" w14:textId="2C37CFF2"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37034B0A" w14:textId="77777777" w:rsidTr="0077559D">
        <w:trPr>
          <w:trHeight w:val="161"/>
        </w:trPr>
        <w:tc>
          <w:tcPr>
            <w:tcW w:w="1129" w:type="dxa"/>
          </w:tcPr>
          <w:p w14:paraId="710F30E2" w14:textId="7C07F769" w:rsidR="00577D1A" w:rsidRPr="000F57AA" w:rsidRDefault="00577D1A" w:rsidP="00577D1A">
            <w:pPr>
              <w:ind w:right="90"/>
              <w:rPr>
                <w:sz w:val="22"/>
                <w:szCs w:val="22"/>
                <w:lang w:val="ro-RO" w:eastAsia="ru-RU"/>
                <w14:ligatures w14:val="standardContextual"/>
              </w:rPr>
            </w:pPr>
            <w:r w:rsidRPr="000F57AA">
              <w:rPr>
                <w:sz w:val="22"/>
                <w:szCs w:val="22"/>
                <w:lang w:val="ro-RO"/>
              </w:rPr>
              <w:t>{0320;0010}</w:t>
            </w:r>
          </w:p>
        </w:tc>
        <w:tc>
          <w:tcPr>
            <w:tcW w:w="7230" w:type="dxa"/>
          </w:tcPr>
          <w:p w14:paraId="1A9F36F0" w14:textId="4667538F"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administraţiilor regionale– Valoarea contabilă din bilanţ </w:t>
            </w:r>
          </w:p>
        </w:tc>
        <w:tc>
          <w:tcPr>
            <w:tcW w:w="1275" w:type="dxa"/>
          </w:tcPr>
          <w:p w14:paraId="6ED330C8" w14:textId="0B2B1A91"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65B26B48" w14:textId="77777777" w:rsidTr="0077559D">
        <w:trPr>
          <w:trHeight w:val="161"/>
        </w:trPr>
        <w:tc>
          <w:tcPr>
            <w:tcW w:w="1129" w:type="dxa"/>
          </w:tcPr>
          <w:p w14:paraId="1E1FE117" w14:textId="373A245C" w:rsidR="00577D1A" w:rsidRPr="000F57AA" w:rsidRDefault="00577D1A" w:rsidP="00577D1A">
            <w:pPr>
              <w:ind w:right="90"/>
              <w:rPr>
                <w:sz w:val="22"/>
                <w:szCs w:val="22"/>
                <w:lang w:val="ro-RO" w:eastAsia="ru-RU"/>
                <w14:ligatures w14:val="standardContextual"/>
              </w:rPr>
            </w:pPr>
            <w:r w:rsidRPr="000F57AA">
              <w:rPr>
                <w:sz w:val="22"/>
                <w:szCs w:val="22"/>
                <w:lang w:val="ro-RO"/>
              </w:rPr>
              <w:t>{0320;0070}</w:t>
            </w:r>
          </w:p>
        </w:tc>
        <w:tc>
          <w:tcPr>
            <w:tcW w:w="7230" w:type="dxa"/>
          </w:tcPr>
          <w:p w14:paraId="15394B7C" w14:textId="0984614E"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administraţiilor regionale – Cuantumul noţional/valoarea nominală </w:t>
            </w:r>
          </w:p>
        </w:tc>
        <w:tc>
          <w:tcPr>
            <w:tcW w:w="1275" w:type="dxa"/>
          </w:tcPr>
          <w:p w14:paraId="480AE9A6" w14:textId="235C594B"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62398D2D" w14:textId="77777777" w:rsidTr="0077559D">
        <w:trPr>
          <w:trHeight w:val="161"/>
        </w:trPr>
        <w:tc>
          <w:tcPr>
            <w:tcW w:w="1129" w:type="dxa"/>
          </w:tcPr>
          <w:p w14:paraId="6AC7C02B" w14:textId="0F41D8A4" w:rsidR="00577D1A" w:rsidRPr="000F57AA" w:rsidRDefault="00577D1A" w:rsidP="00577D1A">
            <w:pPr>
              <w:ind w:right="90"/>
              <w:rPr>
                <w:sz w:val="22"/>
                <w:szCs w:val="22"/>
                <w:lang w:val="ro-RO" w:eastAsia="ru-RU"/>
                <w14:ligatures w14:val="standardContextual"/>
              </w:rPr>
            </w:pPr>
            <w:r w:rsidRPr="000F57AA">
              <w:rPr>
                <w:sz w:val="22"/>
                <w:szCs w:val="22"/>
                <w:lang w:val="ro-RO"/>
              </w:rPr>
              <w:t>{0330;0010}</w:t>
            </w:r>
          </w:p>
        </w:tc>
        <w:tc>
          <w:tcPr>
            <w:tcW w:w="7230" w:type="dxa"/>
          </w:tcPr>
          <w:p w14:paraId="14EC010D" w14:textId="7DC0B41B"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autorităţilor locale – Valoarea contabilă din bilanţ </w:t>
            </w:r>
          </w:p>
        </w:tc>
        <w:tc>
          <w:tcPr>
            <w:tcW w:w="1275" w:type="dxa"/>
          </w:tcPr>
          <w:p w14:paraId="0C2428B0" w14:textId="2076845D"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77D1A" w:rsidRPr="000F57AA" w14:paraId="6AF905E9" w14:textId="77777777" w:rsidTr="0077559D">
        <w:trPr>
          <w:trHeight w:val="161"/>
        </w:trPr>
        <w:tc>
          <w:tcPr>
            <w:tcW w:w="1129" w:type="dxa"/>
          </w:tcPr>
          <w:p w14:paraId="60728E25" w14:textId="63776A0F" w:rsidR="00577D1A" w:rsidRPr="000F57AA" w:rsidRDefault="00577D1A" w:rsidP="00577D1A">
            <w:pPr>
              <w:ind w:right="90"/>
              <w:rPr>
                <w:sz w:val="22"/>
                <w:szCs w:val="22"/>
                <w:lang w:val="ro-RO" w:eastAsia="ru-RU"/>
                <w14:ligatures w14:val="standardContextual"/>
              </w:rPr>
            </w:pPr>
            <w:r w:rsidRPr="000F57AA">
              <w:rPr>
                <w:sz w:val="22"/>
                <w:szCs w:val="22"/>
                <w:lang w:val="ro-RO"/>
              </w:rPr>
              <w:t>{0330;0070}</w:t>
            </w:r>
          </w:p>
        </w:tc>
        <w:tc>
          <w:tcPr>
            <w:tcW w:w="7230" w:type="dxa"/>
          </w:tcPr>
          <w:p w14:paraId="1866259A" w14:textId="522D5E95" w:rsidR="00577D1A" w:rsidRPr="000F57AA" w:rsidRDefault="00577D1A"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autorităţilor locale – Cuantumul noţional/valoarea nominală </w:t>
            </w:r>
          </w:p>
        </w:tc>
        <w:tc>
          <w:tcPr>
            <w:tcW w:w="1275" w:type="dxa"/>
          </w:tcPr>
          <w:p w14:paraId="25C3FE21" w14:textId="40132835" w:rsidR="00577D1A" w:rsidRPr="000F57AA" w:rsidRDefault="00577D1A" w:rsidP="00577D1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6FA3CD0F" w14:textId="77777777" w:rsidTr="0077559D">
        <w:trPr>
          <w:trHeight w:val="161"/>
        </w:trPr>
        <w:tc>
          <w:tcPr>
            <w:tcW w:w="1129" w:type="dxa"/>
          </w:tcPr>
          <w:p w14:paraId="6465D612" w14:textId="643A4564" w:rsidR="00B05BEB" w:rsidRPr="000F57AA" w:rsidRDefault="00B05BEB" w:rsidP="00B05BEB">
            <w:pPr>
              <w:ind w:right="90"/>
              <w:rPr>
                <w:sz w:val="22"/>
                <w:szCs w:val="22"/>
                <w:lang w:val="ro-RO" w:eastAsia="ru-RU"/>
                <w14:ligatures w14:val="standardContextual"/>
              </w:rPr>
            </w:pPr>
            <w:r w:rsidRPr="000F57AA">
              <w:rPr>
                <w:sz w:val="22"/>
                <w:szCs w:val="22"/>
                <w:lang w:val="ro-RO"/>
              </w:rPr>
              <w:t>{0340;0010}</w:t>
            </w:r>
          </w:p>
        </w:tc>
        <w:tc>
          <w:tcPr>
            <w:tcW w:w="7230" w:type="dxa"/>
          </w:tcPr>
          <w:p w14:paraId="67EE4383" w14:textId="704D7969"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entităţilor din sectorul public – Valoarea contabilă din bilanţ </w:t>
            </w:r>
          </w:p>
        </w:tc>
        <w:tc>
          <w:tcPr>
            <w:tcW w:w="1275" w:type="dxa"/>
          </w:tcPr>
          <w:p w14:paraId="31D2661A" w14:textId="497DEA63"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6BF14EA4" w14:textId="77777777" w:rsidTr="0077559D">
        <w:trPr>
          <w:trHeight w:val="161"/>
        </w:trPr>
        <w:tc>
          <w:tcPr>
            <w:tcW w:w="1129" w:type="dxa"/>
          </w:tcPr>
          <w:p w14:paraId="518305CE" w14:textId="53EDBD9C" w:rsidR="00B05BEB" w:rsidRPr="000F57AA" w:rsidRDefault="00B05BEB" w:rsidP="00B05BEB">
            <w:pPr>
              <w:ind w:right="90"/>
              <w:rPr>
                <w:sz w:val="22"/>
                <w:szCs w:val="22"/>
                <w:lang w:val="ro-RO" w:eastAsia="ru-RU"/>
                <w14:ligatures w14:val="standardContextual"/>
              </w:rPr>
            </w:pPr>
            <w:r w:rsidRPr="000F57AA">
              <w:rPr>
                <w:sz w:val="22"/>
                <w:szCs w:val="22"/>
                <w:lang w:val="ro-RO"/>
              </w:rPr>
              <w:t>{0340;0070}</w:t>
            </w:r>
          </w:p>
        </w:tc>
        <w:tc>
          <w:tcPr>
            <w:tcW w:w="7230" w:type="dxa"/>
          </w:tcPr>
          <w:p w14:paraId="77B3AA50" w14:textId="444613B4"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entităţilor din sectorul public – Cuantumul noţional/valoarea nominală </w:t>
            </w:r>
          </w:p>
        </w:tc>
        <w:tc>
          <w:tcPr>
            <w:tcW w:w="1275" w:type="dxa"/>
          </w:tcPr>
          <w:p w14:paraId="2A82833C" w14:textId="64F1265B"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2697D5D9" w14:textId="77777777" w:rsidTr="0077559D">
        <w:trPr>
          <w:trHeight w:val="161"/>
        </w:trPr>
        <w:tc>
          <w:tcPr>
            <w:tcW w:w="1129" w:type="dxa"/>
          </w:tcPr>
          <w:p w14:paraId="3DDD2510" w14:textId="617181F6" w:rsidR="00B05BEB" w:rsidRPr="000F57AA" w:rsidRDefault="00B05BEB" w:rsidP="00B05BEB">
            <w:pPr>
              <w:ind w:right="90"/>
              <w:rPr>
                <w:sz w:val="22"/>
                <w:szCs w:val="22"/>
                <w:lang w:val="ro-RO" w:eastAsia="ru-RU"/>
                <w14:ligatures w14:val="standardContextual"/>
              </w:rPr>
            </w:pPr>
            <w:r w:rsidRPr="000F57AA">
              <w:rPr>
                <w:sz w:val="22"/>
                <w:szCs w:val="22"/>
                <w:lang w:val="ro-RO"/>
              </w:rPr>
              <w:t>{0350;0010}</w:t>
            </w:r>
          </w:p>
        </w:tc>
        <w:tc>
          <w:tcPr>
            <w:tcW w:w="7230" w:type="dxa"/>
          </w:tcPr>
          <w:p w14:paraId="17A9E4F0" w14:textId="6ACC055F"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societăţilor nefinanciare – Valoarea contabilă din bilanţ </w:t>
            </w:r>
          </w:p>
        </w:tc>
        <w:tc>
          <w:tcPr>
            <w:tcW w:w="1275" w:type="dxa"/>
          </w:tcPr>
          <w:p w14:paraId="67E3BB5D" w14:textId="198A0900"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33E560B8" w14:textId="77777777" w:rsidTr="0077559D">
        <w:trPr>
          <w:trHeight w:val="161"/>
        </w:trPr>
        <w:tc>
          <w:tcPr>
            <w:tcW w:w="1129" w:type="dxa"/>
          </w:tcPr>
          <w:p w14:paraId="394C27F8" w14:textId="7D7FAA42" w:rsidR="00B05BEB" w:rsidRPr="000F57AA" w:rsidRDefault="00B05BEB" w:rsidP="00B05BEB">
            <w:pPr>
              <w:ind w:right="90"/>
              <w:rPr>
                <w:sz w:val="22"/>
                <w:szCs w:val="22"/>
                <w:lang w:val="ro-RO" w:eastAsia="ru-RU"/>
                <w14:ligatures w14:val="standardContextual"/>
              </w:rPr>
            </w:pPr>
            <w:r w:rsidRPr="000F57AA">
              <w:rPr>
                <w:sz w:val="22"/>
                <w:szCs w:val="22"/>
                <w:lang w:val="ro-RO"/>
              </w:rPr>
              <w:t>{0350;0070}</w:t>
            </w:r>
          </w:p>
        </w:tc>
        <w:tc>
          <w:tcPr>
            <w:tcW w:w="7230" w:type="dxa"/>
          </w:tcPr>
          <w:p w14:paraId="56B94416" w14:textId="74C2097F"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societăţilor nefinanciare – Cuantumul noţional/valoarea nominală </w:t>
            </w:r>
          </w:p>
        </w:tc>
        <w:tc>
          <w:tcPr>
            <w:tcW w:w="1275" w:type="dxa"/>
          </w:tcPr>
          <w:p w14:paraId="39A617A1" w14:textId="1435802F"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572F727E" w14:textId="77777777" w:rsidTr="0077559D">
        <w:trPr>
          <w:trHeight w:val="161"/>
        </w:trPr>
        <w:tc>
          <w:tcPr>
            <w:tcW w:w="1129" w:type="dxa"/>
          </w:tcPr>
          <w:p w14:paraId="0AE7CC48" w14:textId="77E4E698" w:rsidR="00B05BEB" w:rsidRPr="000F57AA" w:rsidRDefault="00B05BEB" w:rsidP="00B05BEB">
            <w:pPr>
              <w:ind w:right="90"/>
              <w:rPr>
                <w:sz w:val="22"/>
                <w:szCs w:val="22"/>
                <w:lang w:val="ro-RO" w:eastAsia="ru-RU"/>
                <w14:ligatures w14:val="standardContextual"/>
              </w:rPr>
            </w:pPr>
            <w:r w:rsidRPr="000F57AA">
              <w:rPr>
                <w:sz w:val="22"/>
                <w:szCs w:val="22"/>
                <w:lang w:val="ro-RO"/>
              </w:rPr>
              <w:t>{0360;0010}</w:t>
            </w:r>
          </w:p>
        </w:tc>
        <w:tc>
          <w:tcPr>
            <w:tcW w:w="7230" w:type="dxa"/>
          </w:tcPr>
          <w:p w14:paraId="3DA6B2DC" w14:textId="40BF1A2E"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gospodăriilor – Valoarea contabilă din bilanţ </w:t>
            </w:r>
          </w:p>
        </w:tc>
        <w:tc>
          <w:tcPr>
            <w:tcW w:w="1275" w:type="dxa"/>
          </w:tcPr>
          <w:p w14:paraId="7994A94A" w14:textId="11F21C9E"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42604DA2" w14:textId="77777777" w:rsidTr="0077559D">
        <w:trPr>
          <w:trHeight w:val="161"/>
        </w:trPr>
        <w:tc>
          <w:tcPr>
            <w:tcW w:w="1129" w:type="dxa"/>
          </w:tcPr>
          <w:p w14:paraId="1E031BDC" w14:textId="3EDE7056" w:rsidR="00B05BEB" w:rsidRPr="000F57AA" w:rsidRDefault="00B05BEB" w:rsidP="00B05BEB">
            <w:pPr>
              <w:ind w:right="90"/>
              <w:rPr>
                <w:sz w:val="22"/>
                <w:szCs w:val="22"/>
                <w:lang w:val="ro-RO" w:eastAsia="ru-RU"/>
                <w14:ligatures w14:val="standardContextual"/>
              </w:rPr>
            </w:pPr>
            <w:r w:rsidRPr="000F57AA">
              <w:rPr>
                <w:sz w:val="22"/>
                <w:szCs w:val="22"/>
                <w:lang w:val="ro-RO"/>
              </w:rPr>
              <w:t>{0360;0070}</w:t>
            </w:r>
          </w:p>
        </w:tc>
        <w:tc>
          <w:tcPr>
            <w:tcW w:w="7230" w:type="dxa"/>
          </w:tcPr>
          <w:p w14:paraId="08624835" w14:textId="67DC722F"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Creanţe asupra gospodăriilor – Cuantumul noţional/valoarea nominală </w:t>
            </w:r>
          </w:p>
        </w:tc>
        <w:tc>
          <w:tcPr>
            <w:tcW w:w="1275" w:type="dxa"/>
          </w:tcPr>
          <w:p w14:paraId="785079DF" w14:textId="0908C392"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1BD49820" w14:textId="77777777" w:rsidTr="0077559D">
        <w:trPr>
          <w:trHeight w:val="161"/>
        </w:trPr>
        <w:tc>
          <w:tcPr>
            <w:tcW w:w="1129" w:type="dxa"/>
          </w:tcPr>
          <w:p w14:paraId="1564FC55" w14:textId="6F8F9A5A" w:rsidR="00B05BEB" w:rsidRPr="000F57AA" w:rsidRDefault="00B05BEB" w:rsidP="00B05BEB">
            <w:pPr>
              <w:ind w:right="90"/>
              <w:rPr>
                <w:sz w:val="22"/>
                <w:szCs w:val="22"/>
                <w:lang w:val="ro-RO" w:eastAsia="ru-RU"/>
                <w14:ligatures w14:val="standardContextual"/>
              </w:rPr>
            </w:pPr>
            <w:r w:rsidRPr="000F57AA">
              <w:rPr>
                <w:sz w:val="22"/>
                <w:szCs w:val="22"/>
                <w:lang w:val="ro-RO"/>
              </w:rPr>
              <w:t>{0370;0010}</w:t>
            </w:r>
          </w:p>
        </w:tc>
        <w:tc>
          <w:tcPr>
            <w:tcW w:w="7230" w:type="dxa"/>
          </w:tcPr>
          <w:p w14:paraId="59A99628" w14:textId="7E5C3B56"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 xml:space="preserve">Credite promoţionale – „Pass through” – Valoarea contabilă din bilanţ </w:t>
            </w:r>
          </w:p>
        </w:tc>
        <w:tc>
          <w:tcPr>
            <w:tcW w:w="1275" w:type="dxa"/>
          </w:tcPr>
          <w:p w14:paraId="5E3113E1" w14:textId="32F1FA96" w:rsidR="00B05BEB" w:rsidRPr="000F57AA" w:rsidRDefault="00B05BEB" w:rsidP="00B05BE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05BEB" w:rsidRPr="000F57AA" w14:paraId="09741805" w14:textId="77777777" w:rsidTr="0077559D">
        <w:trPr>
          <w:trHeight w:val="161"/>
        </w:trPr>
        <w:tc>
          <w:tcPr>
            <w:tcW w:w="1129" w:type="dxa"/>
          </w:tcPr>
          <w:p w14:paraId="08D4E922" w14:textId="72EAA9BB" w:rsidR="00B05BEB" w:rsidRPr="000F57AA" w:rsidRDefault="00B05BEB" w:rsidP="00B05BEB">
            <w:pPr>
              <w:ind w:right="90"/>
              <w:rPr>
                <w:sz w:val="22"/>
                <w:szCs w:val="22"/>
                <w:lang w:val="ro-RO" w:eastAsia="ru-RU"/>
                <w14:ligatures w14:val="standardContextual"/>
              </w:rPr>
            </w:pPr>
            <w:r w:rsidRPr="000F57AA">
              <w:rPr>
                <w:sz w:val="22"/>
                <w:szCs w:val="22"/>
                <w:lang w:val="ro-RO"/>
              </w:rPr>
              <w:t>{0370;0070}</w:t>
            </w:r>
          </w:p>
        </w:tc>
        <w:tc>
          <w:tcPr>
            <w:tcW w:w="7230" w:type="dxa"/>
          </w:tcPr>
          <w:p w14:paraId="2B3F7A4A" w14:textId="5D6BC6A7" w:rsidR="00B05BEB" w:rsidRPr="000F57AA" w:rsidRDefault="00B05BEB" w:rsidP="00005884">
            <w:pPr>
              <w:ind w:right="90" w:firstLine="598"/>
              <w:rPr>
                <w:b/>
                <w:bCs/>
                <w:sz w:val="22"/>
                <w:szCs w:val="22"/>
                <w:lang w:val="ro-RO" w:eastAsia="ru-RU"/>
                <w14:ligatures w14:val="standardContextual"/>
              </w:rPr>
            </w:pPr>
            <w:r w:rsidRPr="000F57AA">
              <w:rPr>
                <w:b/>
                <w:bCs/>
                <w:sz w:val="22"/>
                <w:szCs w:val="22"/>
                <w:lang w:val="ro-RO"/>
              </w:rPr>
              <w:t>Credite promoţionale – „Pass through” – Cuantumul noţional</w:t>
            </w:r>
            <w:r w:rsidR="00005884" w:rsidRPr="000F57AA">
              <w:rPr>
                <w:b/>
                <w:bCs/>
                <w:sz w:val="22"/>
                <w:szCs w:val="22"/>
                <w:lang w:val="ro-RO"/>
              </w:rPr>
              <w:t xml:space="preserve"> </w:t>
            </w:r>
            <w:r w:rsidRPr="000F57AA">
              <w:rPr>
                <w:b/>
                <w:bCs/>
                <w:sz w:val="22"/>
                <w:szCs w:val="22"/>
                <w:lang w:val="ro-RO"/>
              </w:rPr>
              <w:t xml:space="preserve">/valoarea nominală </w:t>
            </w:r>
          </w:p>
        </w:tc>
        <w:tc>
          <w:tcPr>
            <w:tcW w:w="1275" w:type="dxa"/>
          </w:tcPr>
          <w:p w14:paraId="6B0066C9" w14:textId="2F1E58D1" w:rsidR="00B05BEB" w:rsidRPr="000F57AA" w:rsidRDefault="00B05BEB" w:rsidP="00721A92">
            <w:pPr>
              <w:ind w:right="90"/>
              <w:rPr>
                <w:sz w:val="22"/>
                <w:szCs w:val="22"/>
                <w:lang w:val="ro-RO" w:eastAsia="ru-RU"/>
                <w14:ligatures w14:val="standardContextual"/>
              </w:rPr>
            </w:pPr>
            <w:r w:rsidRPr="000F57AA">
              <w:rPr>
                <w:sz w:val="22"/>
                <w:szCs w:val="22"/>
                <w:lang w:val="ro-RO" w:eastAsia="ru-RU"/>
                <w14:ligatures w14:val="standardContextual"/>
              </w:rPr>
              <w:t>blocat</w:t>
            </w:r>
          </w:p>
        </w:tc>
      </w:tr>
      <w:tr w:rsidR="00721A92" w:rsidRPr="00A05A6A" w14:paraId="14A340DD" w14:textId="77777777" w:rsidTr="0077559D">
        <w:trPr>
          <w:trHeight w:val="161"/>
        </w:trPr>
        <w:tc>
          <w:tcPr>
            <w:tcW w:w="1129" w:type="dxa"/>
          </w:tcPr>
          <w:p w14:paraId="739A954A" w14:textId="4E2B3F2B" w:rsidR="00721A92" w:rsidRPr="000F57AA" w:rsidRDefault="00721A92" w:rsidP="00721A92">
            <w:pPr>
              <w:ind w:right="90"/>
              <w:rPr>
                <w:sz w:val="22"/>
                <w:szCs w:val="22"/>
                <w:lang w:val="ro-RO" w:eastAsia="ru-RU"/>
                <w14:ligatures w14:val="standardContextual"/>
              </w:rPr>
            </w:pPr>
            <w:r w:rsidRPr="000F57AA">
              <w:rPr>
                <w:sz w:val="22"/>
                <w:szCs w:val="22"/>
                <w:lang w:val="ro-RO"/>
              </w:rPr>
              <w:t>{0380;0010}</w:t>
            </w:r>
          </w:p>
        </w:tc>
        <w:tc>
          <w:tcPr>
            <w:tcW w:w="8505" w:type="dxa"/>
            <w:gridSpan w:val="2"/>
          </w:tcPr>
          <w:p w14:paraId="6C23344D" w14:textId="77777777" w:rsidR="00721A92" w:rsidRPr="000F57AA" w:rsidRDefault="00721A92" w:rsidP="00A97E16">
            <w:pPr>
              <w:ind w:right="90" w:firstLine="598"/>
              <w:rPr>
                <w:b/>
                <w:bCs/>
                <w:sz w:val="22"/>
                <w:szCs w:val="22"/>
                <w:lang w:val="ro-RO"/>
              </w:rPr>
            </w:pPr>
            <w:r w:rsidRPr="000F57AA">
              <w:rPr>
                <w:b/>
                <w:bCs/>
                <w:sz w:val="22"/>
                <w:szCs w:val="22"/>
                <w:lang w:val="ro-RO"/>
              </w:rPr>
              <w:t xml:space="preserve">Expuneri faţă de banca centrală – Valoarea contabilă din bilanţ </w:t>
            </w:r>
          </w:p>
          <w:p w14:paraId="1D9A6C74" w14:textId="77777777" w:rsidR="00721A92" w:rsidRPr="000F57AA" w:rsidRDefault="00721A92" w:rsidP="00A97E16">
            <w:pPr>
              <w:ind w:right="90" w:firstLine="598"/>
              <w:rPr>
                <w:sz w:val="22"/>
                <w:szCs w:val="22"/>
                <w:lang w:val="ro-RO"/>
              </w:rPr>
            </w:pPr>
            <w:r w:rsidRPr="000F57AA">
              <w:rPr>
                <w:sz w:val="22"/>
                <w:szCs w:val="22"/>
                <w:lang w:val="ro-RO"/>
              </w:rPr>
              <w:t xml:space="preserve">Băncile raportează, în conformitate cu cadrul contabil aplicabil, valoarea următoarelor expuneri faţă de banca sa centrală  : </w:t>
            </w:r>
          </w:p>
          <w:p w14:paraId="483F68FE" w14:textId="77777777" w:rsidR="00721A92" w:rsidRPr="000F57AA" w:rsidRDefault="00721A92" w:rsidP="00A97E16">
            <w:pPr>
              <w:ind w:right="90" w:firstLine="598"/>
              <w:rPr>
                <w:sz w:val="22"/>
                <w:szCs w:val="22"/>
                <w:lang w:val="ro-RO"/>
              </w:rPr>
            </w:pPr>
            <w:r w:rsidRPr="000F57AA">
              <w:rPr>
                <w:sz w:val="22"/>
                <w:szCs w:val="22"/>
                <w:lang w:val="ro-RO"/>
              </w:rPr>
              <w:t xml:space="preserve">(i) monede și bancnote care constituie moneda legală în jurisdicţia băncii centrale; </w:t>
            </w:r>
          </w:p>
          <w:p w14:paraId="43ABC3B9" w14:textId="77777777" w:rsidR="00721A92" w:rsidRPr="000F57AA" w:rsidRDefault="00721A92" w:rsidP="00A97E16">
            <w:pPr>
              <w:ind w:right="90" w:firstLine="598"/>
              <w:rPr>
                <w:sz w:val="22"/>
                <w:szCs w:val="22"/>
                <w:lang w:val="ro-RO"/>
              </w:rPr>
            </w:pPr>
            <w:r w:rsidRPr="000F57AA">
              <w:rPr>
                <w:sz w:val="22"/>
                <w:szCs w:val="22"/>
                <w:lang w:val="ro-RO"/>
              </w:rPr>
              <w:t xml:space="preserve">(ii) active care reprezintă creanţe faţă de banca centrală, inclusiv rezerve deţinute la banca centrală. </w:t>
            </w:r>
          </w:p>
          <w:p w14:paraId="2F8055D1" w14:textId="77777777" w:rsidR="00721A92" w:rsidRPr="000F57AA" w:rsidRDefault="00721A92" w:rsidP="00A97E16">
            <w:pPr>
              <w:ind w:right="90" w:firstLine="598"/>
              <w:rPr>
                <w:sz w:val="22"/>
                <w:szCs w:val="22"/>
                <w:lang w:val="ro-RO"/>
              </w:rPr>
            </w:pPr>
            <w:r w:rsidRPr="000F57AA">
              <w:rPr>
                <w:sz w:val="22"/>
                <w:szCs w:val="22"/>
                <w:lang w:val="ro-RO"/>
              </w:rPr>
              <w:t xml:space="preserve">Băncile includ numai expunerile care îndeplinesc, cumulativ, următoarele două condiţii: </w:t>
            </w:r>
          </w:p>
          <w:p w14:paraId="696902F2" w14:textId="77777777" w:rsidR="00721A92" w:rsidRPr="000F57AA" w:rsidRDefault="00721A92" w:rsidP="00A97E16">
            <w:pPr>
              <w:ind w:right="90" w:firstLine="598"/>
              <w:rPr>
                <w:sz w:val="22"/>
                <w:szCs w:val="22"/>
                <w:lang w:val="ro-RO"/>
              </w:rPr>
            </w:pPr>
            <w:r w:rsidRPr="000F57AA">
              <w:rPr>
                <w:sz w:val="22"/>
                <w:szCs w:val="22"/>
                <w:lang w:val="ro-RO"/>
              </w:rPr>
              <w:t xml:space="preserve">(a) sunt exprimate în aceeași monedă ca depozitele atrase de bancă; </w:t>
            </w:r>
          </w:p>
          <w:p w14:paraId="7CA2FDD0" w14:textId="77777777" w:rsidR="00721A92" w:rsidRPr="000F57AA" w:rsidRDefault="00721A92" w:rsidP="00A97E16">
            <w:pPr>
              <w:ind w:right="90" w:firstLine="598"/>
              <w:rPr>
                <w:sz w:val="22"/>
                <w:szCs w:val="22"/>
                <w:lang w:val="ro-RO"/>
              </w:rPr>
            </w:pPr>
            <w:r w:rsidRPr="000F57AA">
              <w:rPr>
                <w:sz w:val="22"/>
                <w:szCs w:val="22"/>
                <w:lang w:val="ro-RO"/>
              </w:rPr>
              <w:t xml:space="preserve">(b) scadenţa lor medie nu depășește în mod semnificativ scadenţa medie a depozitelor atrase de bancă. </w:t>
            </w:r>
          </w:p>
          <w:p w14:paraId="0C5E31A5" w14:textId="13F01717" w:rsidR="00721A92" w:rsidRPr="000F57AA" w:rsidRDefault="00721A92" w:rsidP="00721A92">
            <w:pPr>
              <w:ind w:right="90" w:firstLine="530"/>
              <w:rPr>
                <w:b/>
                <w:bCs/>
                <w:sz w:val="22"/>
                <w:szCs w:val="22"/>
                <w:lang w:val="ro-RO" w:eastAsia="ru-RU"/>
                <w14:ligatures w14:val="standardContextual"/>
              </w:rPr>
            </w:pPr>
            <w:r w:rsidRPr="000F57AA">
              <w:rPr>
                <w:sz w:val="22"/>
                <w:szCs w:val="22"/>
                <w:lang w:val="ro-RO"/>
              </w:rPr>
              <w:t>Băncile raportează aceste expuneri indiferent dacă ele sunt excluse din indicatorul de măsurare a expunerii totale în conformitate cu pct.21 și 22 din Regulamentul nr.XX/2025.</w:t>
            </w:r>
          </w:p>
        </w:tc>
      </w:tr>
      <w:tr w:rsidR="00721A92" w:rsidRPr="00A05A6A" w14:paraId="7989885D" w14:textId="77777777" w:rsidTr="0077559D">
        <w:trPr>
          <w:trHeight w:val="161"/>
        </w:trPr>
        <w:tc>
          <w:tcPr>
            <w:tcW w:w="1129" w:type="dxa"/>
          </w:tcPr>
          <w:p w14:paraId="3683DC26" w14:textId="0311A2BB" w:rsidR="00721A92" w:rsidRPr="000F57AA" w:rsidRDefault="00721A92" w:rsidP="00721A92">
            <w:pPr>
              <w:ind w:right="90"/>
              <w:rPr>
                <w:sz w:val="22"/>
                <w:szCs w:val="22"/>
                <w:lang w:val="ro-RO" w:eastAsia="ru-RU"/>
                <w14:ligatures w14:val="standardContextual"/>
              </w:rPr>
            </w:pPr>
            <w:r w:rsidRPr="000F57AA">
              <w:rPr>
                <w:sz w:val="22"/>
                <w:szCs w:val="22"/>
                <w:lang w:val="ro-RO"/>
              </w:rPr>
              <w:t>{0390;</w:t>
            </w:r>
            <w:r w:rsidR="00DA43BB" w:rsidRPr="000F57AA">
              <w:rPr>
                <w:sz w:val="22"/>
                <w:szCs w:val="22"/>
                <w:lang w:val="ro-RO"/>
              </w:rPr>
              <w:t>0130</w:t>
            </w:r>
            <w:r w:rsidRPr="000F57AA">
              <w:rPr>
                <w:sz w:val="22"/>
                <w:szCs w:val="22"/>
                <w:lang w:val="ro-RO"/>
              </w:rPr>
              <w:t>}</w:t>
            </w:r>
          </w:p>
        </w:tc>
        <w:tc>
          <w:tcPr>
            <w:tcW w:w="8505" w:type="dxa"/>
            <w:gridSpan w:val="2"/>
          </w:tcPr>
          <w:p w14:paraId="35B38DC9" w14:textId="77777777" w:rsidR="00721A92" w:rsidRPr="000F57AA" w:rsidRDefault="00721A92" w:rsidP="00721A92">
            <w:pPr>
              <w:ind w:right="90" w:firstLine="530"/>
              <w:rPr>
                <w:b/>
                <w:bCs/>
                <w:sz w:val="22"/>
                <w:szCs w:val="22"/>
                <w:lang w:val="ro-RO"/>
              </w:rPr>
            </w:pPr>
            <w:r w:rsidRPr="000F57AA">
              <w:rPr>
                <w:b/>
                <w:bCs/>
                <w:sz w:val="22"/>
                <w:szCs w:val="22"/>
                <w:lang w:val="ro-RO"/>
              </w:rPr>
              <w:t xml:space="preserve">Valoarea expunerilor faţă de banca centrală utilizată pentru calcularea cerinţei privind indicatorul efectului de levier ajustat prevăzute la pct.23 din Regulamentul nr.XX/2025 – Cuantumul expunerii pentru calcularea indicatorului efectului de levier </w:t>
            </w:r>
          </w:p>
          <w:p w14:paraId="7BA16416" w14:textId="1D206DBA" w:rsidR="00721A92" w:rsidRPr="000F57AA" w:rsidRDefault="00721A92" w:rsidP="00721A92">
            <w:pPr>
              <w:ind w:right="90" w:firstLine="530"/>
              <w:rPr>
                <w:b/>
                <w:bCs/>
                <w:sz w:val="22"/>
                <w:szCs w:val="22"/>
                <w:lang w:val="ro-RO" w:eastAsia="ru-RU"/>
                <w14:ligatures w14:val="standardContextual"/>
              </w:rPr>
            </w:pPr>
            <w:r w:rsidRPr="000F57AA">
              <w:rPr>
                <w:sz w:val="22"/>
                <w:szCs w:val="22"/>
                <w:lang w:val="ro-RO"/>
              </w:rPr>
              <w:t xml:space="preserve">Valoarea totală medie zilnică a expunerilor băncii faţă de </w:t>
            </w:r>
            <w:r w:rsidR="00833F6F" w:rsidRPr="000F57AA">
              <w:rPr>
                <w:sz w:val="22"/>
                <w:szCs w:val="22"/>
                <w:lang w:val="ro-RO"/>
              </w:rPr>
              <w:t>banca centrală</w:t>
            </w:r>
            <w:r w:rsidRPr="000F57AA">
              <w:rPr>
                <w:sz w:val="22"/>
                <w:szCs w:val="22"/>
                <w:lang w:val="ro-RO"/>
              </w:rPr>
              <w:t xml:space="preserve">, calculată pentru întreaga perioadă de aplicare a rezervelor minime obligatorii a </w:t>
            </w:r>
            <w:r w:rsidR="00833F6F" w:rsidRPr="000F57AA">
              <w:rPr>
                <w:sz w:val="22"/>
                <w:szCs w:val="22"/>
                <w:lang w:val="ro-RO"/>
              </w:rPr>
              <w:t xml:space="preserve">băncii centrale </w:t>
            </w:r>
            <w:r w:rsidRPr="000F57AA">
              <w:rPr>
                <w:sz w:val="22"/>
                <w:szCs w:val="22"/>
                <w:lang w:val="ro-RO"/>
              </w:rPr>
              <w:t>imediat anterioară datei menţionate la subpct.21.3 din Regulamentul nr.XX/2025, care sunt eligibile pentru a fi excluse în conformitate cu subpct.19.</w:t>
            </w:r>
            <w:r w:rsidR="004D7D82" w:rsidRPr="000F57AA">
              <w:rPr>
                <w:sz w:val="22"/>
                <w:szCs w:val="22"/>
                <w:lang w:val="ro-RO"/>
              </w:rPr>
              <w:t>10</w:t>
            </w:r>
            <w:r w:rsidRPr="000F57AA">
              <w:rPr>
                <w:sz w:val="22"/>
                <w:szCs w:val="22"/>
                <w:lang w:val="ro-RO"/>
              </w:rPr>
              <w:t xml:space="preserve"> din Regulamentul nr.XX/2025.</w:t>
            </w:r>
          </w:p>
        </w:tc>
      </w:tr>
      <w:tr w:rsidR="00721A92" w:rsidRPr="00A05A6A" w14:paraId="22EE5F8D" w14:textId="77777777" w:rsidTr="0077559D">
        <w:trPr>
          <w:trHeight w:val="161"/>
        </w:trPr>
        <w:tc>
          <w:tcPr>
            <w:tcW w:w="1129" w:type="dxa"/>
          </w:tcPr>
          <w:p w14:paraId="5C61D3FA" w14:textId="569C84CC" w:rsidR="00721A92" w:rsidRPr="000F57AA" w:rsidRDefault="00721A92" w:rsidP="00721A92">
            <w:pPr>
              <w:ind w:right="90"/>
              <w:rPr>
                <w:sz w:val="22"/>
                <w:szCs w:val="22"/>
                <w:lang w:val="ro-RO" w:eastAsia="ru-RU"/>
                <w14:ligatures w14:val="standardContextual"/>
              </w:rPr>
            </w:pPr>
            <w:r w:rsidRPr="000F57AA">
              <w:rPr>
                <w:sz w:val="22"/>
                <w:szCs w:val="22"/>
                <w:lang w:val="ro-RO"/>
              </w:rPr>
              <w:t>{0400;</w:t>
            </w:r>
            <w:r w:rsidR="00DA43BB" w:rsidRPr="000F57AA">
              <w:rPr>
                <w:sz w:val="22"/>
                <w:szCs w:val="22"/>
                <w:lang w:val="ro-RO"/>
              </w:rPr>
              <w:t>0130</w:t>
            </w:r>
            <w:r w:rsidRPr="000F57AA">
              <w:rPr>
                <w:sz w:val="22"/>
                <w:szCs w:val="22"/>
                <w:lang w:val="ro-RO"/>
              </w:rPr>
              <w:t>}</w:t>
            </w:r>
          </w:p>
        </w:tc>
        <w:tc>
          <w:tcPr>
            <w:tcW w:w="8505" w:type="dxa"/>
            <w:gridSpan w:val="2"/>
          </w:tcPr>
          <w:p w14:paraId="0DF32E34" w14:textId="77777777" w:rsidR="0022663F" w:rsidRPr="000F57AA" w:rsidRDefault="00721A92" w:rsidP="00721A92">
            <w:pPr>
              <w:ind w:right="90" w:firstLine="530"/>
              <w:rPr>
                <w:b/>
                <w:bCs/>
                <w:sz w:val="22"/>
                <w:szCs w:val="22"/>
                <w:lang w:val="ro-RO"/>
              </w:rPr>
            </w:pPr>
            <w:r w:rsidRPr="000F57AA">
              <w:rPr>
                <w:b/>
                <w:bCs/>
                <w:sz w:val="22"/>
                <w:szCs w:val="22"/>
                <w:lang w:val="ro-RO"/>
              </w:rPr>
              <w:t xml:space="preserve">Indicatorul de măsurare a expunerii utilizat pentru calcularea indicatorului efectului de levier, utilizat pentru calcularea cerinţei privind indicatorul efectului de levier ajustat prevăzute la pct.23 din Regulamentul nr.XX/2025 – Cuantumul expunerii pentru calcularea indicatorului efectului de levier </w:t>
            </w:r>
          </w:p>
          <w:p w14:paraId="300DF7F6" w14:textId="308E833B" w:rsidR="00721A92" w:rsidRPr="000F57AA" w:rsidRDefault="00721A92" w:rsidP="00721A92">
            <w:pPr>
              <w:ind w:right="90" w:firstLine="530"/>
              <w:rPr>
                <w:b/>
                <w:bCs/>
                <w:sz w:val="22"/>
                <w:szCs w:val="22"/>
                <w:lang w:val="ro-RO" w:eastAsia="ru-RU"/>
                <w14:ligatures w14:val="standardContextual"/>
              </w:rPr>
            </w:pPr>
            <w:r w:rsidRPr="000F57AA">
              <w:rPr>
                <w:sz w:val="22"/>
                <w:szCs w:val="22"/>
                <w:lang w:val="ro-RO"/>
              </w:rPr>
              <w:t xml:space="preserve">Indicatorul de măsurare a expunerii totale a băncii, astfel cum este definit la pct.9-11 din Regulamentul nr.XX/2025, inclusiv eventualele expuneri excluse în conformitate cu </w:t>
            </w:r>
            <w:r w:rsidRPr="000F57AA">
              <w:rPr>
                <w:sz w:val="22"/>
                <w:szCs w:val="22"/>
                <w:lang w:val="ro-RO"/>
              </w:rPr>
              <w:lastRenderedPageBreak/>
              <w:t>subpct.19.</w:t>
            </w:r>
            <w:r w:rsidR="004D7D82" w:rsidRPr="000F57AA">
              <w:rPr>
                <w:sz w:val="22"/>
                <w:szCs w:val="22"/>
                <w:lang w:val="ro-RO"/>
              </w:rPr>
              <w:t>10</w:t>
            </w:r>
            <w:r w:rsidRPr="000F57AA">
              <w:rPr>
                <w:sz w:val="22"/>
                <w:szCs w:val="22"/>
                <w:lang w:val="ro-RO"/>
              </w:rPr>
              <w:t xml:space="preserve"> din Regulamentul nr.XX/2025, la data menţionată la subpct.21.3 din Regulamentul nr.XX/2025.</w:t>
            </w:r>
          </w:p>
        </w:tc>
      </w:tr>
      <w:tr w:rsidR="00721A92" w:rsidRPr="00A05A6A" w14:paraId="61D20DCA" w14:textId="77777777" w:rsidTr="0077559D">
        <w:trPr>
          <w:trHeight w:val="161"/>
        </w:trPr>
        <w:tc>
          <w:tcPr>
            <w:tcW w:w="1129" w:type="dxa"/>
          </w:tcPr>
          <w:p w14:paraId="63D05914" w14:textId="5F2BE8A9" w:rsidR="00721A92" w:rsidRPr="000F57AA" w:rsidRDefault="00721A92" w:rsidP="00721A92">
            <w:pPr>
              <w:ind w:right="90"/>
              <w:rPr>
                <w:sz w:val="22"/>
                <w:szCs w:val="22"/>
                <w:lang w:val="ro-RO" w:eastAsia="ru-RU"/>
                <w14:ligatures w14:val="standardContextual"/>
              </w:rPr>
            </w:pPr>
            <w:r w:rsidRPr="000F57AA">
              <w:rPr>
                <w:sz w:val="22"/>
                <w:szCs w:val="22"/>
                <w:lang w:val="ro-RO"/>
              </w:rPr>
              <w:lastRenderedPageBreak/>
              <w:t>{0410;0010}</w:t>
            </w:r>
          </w:p>
        </w:tc>
        <w:tc>
          <w:tcPr>
            <w:tcW w:w="8505" w:type="dxa"/>
            <w:gridSpan w:val="2"/>
          </w:tcPr>
          <w:p w14:paraId="328978D5" w14:textId="77777777" w:rsidR="00721A92" w:rsidRPr="000F57AA" w:rsidRDefault="00721A92" w:rsidP="00A97E16">
            <w:pPr>
              <w:ind w:right="90" w:firstLine="598"/>
              <w:rPr>
                <w:b/>
                <w:bCs/>
                <w:sz w:val="22"/>
                <w:szCs w:val="22"/>
                <w:lang w:val="ro-RO"/>
              </w:rPr>
            </w:pPr>
            <w:r w:rsidRPr="000F57AA">
              <w:rPr>
                <w:b/>
                <w:bCs/>
                <w:sz w:val="22"/>
                <w:szCs w:val="22"/>
                <w:lang w:val="ro-RO"/>
              </w:rPr>
              <w:t xml:space="preserve">Total active </w:t>
            </w:r>
          </w:p>
          <w:p w14:paraId="4AF63167" w14:textId="5EED4A42" w:rsidR="00721A92" w:rsidRPr="000F57AA" w:rsidRDefault="00721A92" w:rsidP="00A97E16">
            <w:pPr>
              <w:ind w:right="90" w:firstLine="598"/>
              <w:rPr>
                <w:b/>
                <w:bCs/>
                <w:sz w:val="22"/>
                <w:szCs w:val="22"/>
                <w:lang w:val="ro-RO" w:eastAsia="ru-RU"/>
                <w14:ligatures w14:val="standardContextual"/>
              </w:rPr>
            </w:pPr>
            <w:r w:rsidRPr="000F57AA">
              <w:rPr>
                <w:sz w:val="22"/>
                <w:szCs w:val="22"/>
                <w:lang w:val="ro-RO"/>
              </w:rPr>
              <w:t>La acest element, băncile raportează totalul activelor în conformitate cu sfera de aplicare utilizată în situaţiile financiare publicate.</w:t>
            </w:r>
          </w:p>
        </w:tc>
      </w:tr>
    </w:tbl>
    <w:p w14:paraId="1658D213" w14:textId="77777777" w:rsidR="00EF02C5" w:rsidRPr="000F57AA" w:rsidRDefault="00EF02C5" w:rsidP="00116A77">
      <w:pPr>
        <w:spacing w:after="0"/>
        <w:ind w:firstLine="708"/>
        <w:rPr>
          <w:rFonts w:ascii="Times New Roman" w:eastAsia="Times New Roman" w:hAnsi="Times New Roman" w:cs="Times New Roman"/>
          <w:lang w:val="ro-RO"/>
        </w:rPr>
      </w:pPr>
    </w:p>
    <w:p w14:paraId="219261F6" w14:textId="77777777" w:rsidR="00EF02C5" w:rsidRPr="000F57AA" w:rsidRDefault="00EF02C5" w:rsidP="00EF02C5">
      <w:pPr>
        <w:spacing w:after="0"/>
        <w:ind w:firstLine="708"/>
        <w:rPr>
          <w:rFonts w:ascii="Times New Roman" w:eastAsia="Times New Roman" w:hAnsi="Times New Roman" w:cs="Times New Roman"/>
          <w:i/>
          <w:iCs/>
          <w:lang w:val="ro-RO"/>
        </w:rPr>
      </w:pPr>
      <w:r w:rsidRPr="000F57AA">
        <w:rPr>
          <w:rFonts w:ascii="Times New Roman" w:eastAsia="Times New Roman" w:hAnsi="Times New Roman" w:cs="Times New Roman"/>
          <w:b/>
          <w:bCs/>
          <w:i/>
          <w:iCs/>
          <w:lang w:val="ro-RO"/>
        </w:rPr>
        <w:t>Secțiunea 5.</w:t>
      </w:r>
      <w:r w:rsidRPr="000F57AA">
        <w:rPr>
          <w:rFonts w:ascii="Times New Roman" w:eastAsia="Times New Roman" w:hAnsi="Times New Roman" w:cs="Times New Roman"/>
          <w:i/>
          <w:iCs/>
          <w:lang w:val="ro-RO"/>
        </w:rPr>
        <w:t xml:space="preserve"> </w:t>
      </w:r>
      <w:r w:rsidRPr="000F57AA">
        <w:rPr>
          <w:rFonts w:ascii="Times New Roman" w:eastAsia="Times New Roman" w:hAnsi="Times New Roman" w:cs="Times New Roman"/>
          <w:b/>
          <w:bCs/>
          <w:i/>
          <w:iCs/>
          <w:lang w:val="ro-RO"/>
        </w:rPr>
        <w:t xml:space="preserve">C 43.00 – Defalcarea alternativă a componentelor indicatorului de măsurare a expunerii utilizat pentru calcularea indicatorului efectului de levier (LR4) </w:t>
      </w:r>
    </w:p>
    <w:p w14:paraId="6BAD81DB" w14:textId="77777777" w:rsidR="00EF02C5" w:rsidRPr="000F57AA" w:rsidRDefault="00EF02C5" w:rsidP="00EF02C5">
      <w:pPr>
        <w:spacing w:after="0"/>
        <w:ind w:firstLine="708"/>
        <w:rPr>
          <w:rFonts w:ascii="Times New Roman" w:eastAsia="Times New Roman" w:hAnsi="Times New Roman" w:cs="Times New Roman"/>
          <w:i/>
          <w:iCs/>
          <w:lang w:val="ro-RO"/>
        </w:rPr>
      </w:pPr>
    </w:p>
    <w:p w14:paraId="09F44890" w14:textId="33DFF049" w:rsidR="00EF02C5" w:rsidRPr="000F57AA" w:rsidRDefault="00EF02C5" w:rsidP="00EF02C5">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32. În LR4, băncile raportează valorile expunerii pentru calcularea indicatorului efectului de levier după aplicarea exceptărilor și a deducerilor din formularul LRCalc, adică a elementelor cu semn negativ în conformitate cu convenţia privind semnele din </w:t>
      </w:r>
      <w:r w:rsidR="00E11F1A" w:rsidRPr="000F57AA">
        <w:rPr>
          <w:rFonts w:ascii="Times New Roman" w:eastAsia="Times New Roman" w:hAnsi="Times New Roman" w:cs="Times New Roman"/>
          <w:lang w:val="ro-RO"/>
        </w:rPr>
        <w:t>subsecțiunea 4, secțiunea 1, capitolul I</w:t>
      </w:r>
      <w:r w:rsidRPr="000F57AA">
        <w:rPr>
          <w:rFonts w:ascii="Times New Roman" w:eastAsia="Times New Roman" w:hAnsi="Times New Roman" w:cs="Times New Roman"/>
          <w:lang w:val="ro-RO"/>
        </w:rPr>
        <w:t xml:space="preserve"> din prezenta anexă, cu excepţia rândului {0270;0010}.</w:t>
      </w:r>
    </w:p>
    <w:p w14:paraId="76A09187" w14:textId="77777777" w:rsidR="00EF02C5" w:rsidRPr="000F57AA" w:rsidRDefault="00EF02C5" w:rsidP="00EF02C5">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33. Pentru a evita dubla contabilizare, băncile respectă următoare ecuaţie: </w:t>
      </w:r>
    </w:p>
    <w:p w14:paraId="3E9BB5F7" w14:textId="21B10778" w:rsidR="00EF02C5" w:rsidRPr="000F57AA" w:rsidRDefault="00EF02C5" w:rsidP="00EF02C5">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Suma rândurilor {0010; 0010}-{0260;0010} din formularul LRCalc este egală cu = [{LR4;0010;0010} + {LR4;0040;0010} + {LR4;0050;0010} + {LR4;0060;0010} + {LR4;0065;0010} + {LR4;0070;0010} + {LR4;0090;0010} +  {LR4;0140;0010} + {LR4;0180;0010} + {LR4;190;0010} + {LR4;0210;0010} + {LR4;0230;0010} + {LR4;0280;0010} + {LR4;0290;0010}].</w:t>
      </w:r>
    </w:p>
    <w:p w14:paraId="64B6F748" w14:textId="501D31F1" w:rsidR="00EF02C5" w:rsidRPr="000F57AA" w:rsidRDefault="00EF02C5" w:rsidP="00EF02C5">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34. Pentru consecvenţă cu valorile expunerii pentru calcularea indicatorului efectului de levier, cuantumurile ponderate la risc ale expunerilor se raportează, de asemenea, aplicate integral.</w:t>
      </w:r>
    </w:p>
    <w:p w14:paraId="22ECA609" w14:textId="29965834" w:rsidR="00EF02C5" w:rsidRPr="000F57AA" w:rsidRDefault="00EF02C5" w:rsidP="00EF02C5">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35. Băncile raportează contrapartea în ceea ce privește cuantumurile ponderate la risc ale expunerilor după aplicarea tehnicilor de diminuare a riscului de credit (CRM) și a efectelor lor de substituţie. Băncile raportează contrapartea în ceea ce privește LRE în conformitate cu contrapartea originală, adică fără a ţine seama de eventualele tehnici CRM sau efecte de substituţie aplicabile cuantumurilor ponderate la risc ale expunerilor.</w:t>
      </w:r>
    </w:p>
    <w:p w14:paraId="6FBB2CFD" w14:textId="77777777" w:rsidR="00EF02C5" w:rsidRPr="000F57AA" w:rsidRDefault="00EF02C5" w:rsidP="00EF02C5">
      <w:pPr>
        <w:spacing w:after="0"/>
        <w:ind w:firstLine="708"/>
        <w:rPr>
          <w:rFonts w:ascii="Times New Roman" w:eastAsia="Times New Roman" w:hAnsi="Times New Roman" w:cs="Times New Roman"/>
          <w:lang w:val="ro-RO"/>
        </w:rPr>
      </w:pPr>
    </w:p>
    <w:p w14:paraId="46EEED2E" w14:textId="77777777" w:rsidR="00EF02C5" w:rsidRPr="000F57AA" w:rsidRDefault="00EF02C5" w:rsidP="00EF02C5">
      <w:pPr>
        <w:spacing w:after="0"/>
        <w:ind w:firstLine="708"/>
        <w:rPr>
          <w:rFonts w:ascii="Times New Roman" w:eastAsia="Times New Roman" w:hAnsi="Times New Roman" w:cs="Times New Roman"/>
          <w:lang w:val="ro-RO"/>
        </w:rPr>
      </w:pPr>
    </w:p>
    <w:p w14:paraId="470DA52C" w14:textId="77777777" w:rsidR="00EF02C5" w:rsidRPr="000F57AA" w:rsidRDefault="00EF02C5" w:rsidP="00EF02C5">
      <w:pPr>
        <w:spacing w:after="0"/>
        <w:ind w:firstLine="708"/>
        <w:rPr>
          <w:rFonts w:ascii="Times New Roman" w:eastAsia="Times New Roman" w:hAnsi="Times New Roman" w:cs="Times New Roman"/>
          <w:lang w:val="ro-RO"/>
        </w:rPr>
      </w:pPr>
    </w:p>
    <w:p w14:paraId="4D6734DB" w14:textId="77777777" w:rsidR="00EF02C5" w:rsidRPr="000F57AA" w:rsidRDefault="00EF02C5" w:rsidP="00EF02C5">
      <w:pPr>
        <w:spacing w:after="0"/>
        <w:ind w:firstLine="708"/>
        <w:rPr>
          <w:rFonts w:ascii="Times New Roman" w:eastAsia="Times New Roman" w:hAnsi="Times New Roman" w:cs="Times New Roman"/>
          <w:lang w:val="ro-RO"/>
        </w:rPr>
      </w:pPr>
    </w:p>
    <w:p w14:paraId="06670362" w14:textId="77777777" w:rsidR="00EF02C5" w:rsidRPr="000F57AA" w:rsidRDefault="00EF02C5" w:rsidP="00EF02C5">
      <w:pPr>
        <w:spacing w:after="0"/>
        <w:ind w:firstLine="708"/>
        <w:rPr>
          <w:rFonts w:ascii="Times New Roman" w:eastAsia="Times New Roman" w:hAnsi="Times New Roman" w:cs="Times New Roman"/>
          <w:lang w:val="ro-RO"/>
        </w:rPr>
      </w:pPr>
    </w:p>
    <w:p w14:paraId="5811C8D0" w14:textId="77777777" w:rsidR="00EF02C5" w:rsidRPr="000F57AA" w:rsidRDefault="00EF02C5" w:rsidP="00EF02C5">
      <w:pPr>
        <w:spacing w:after="0"/>
        <w:ind w:firstLine="708"/>
        <w:rPr>
          <w:rFonts w:ascii="Times New Roman" w:eastAsia="Times New Roman" w:hAnsi="Times New Roman" w:cs="Times New Roman"/>
          <w:lang w:val="ro-RO"/>
        </w:rPr>
      </w:pPr>
    </w:p>
    <w:p w14:paraId="031F86F4" w14:textId="77777777" w:rsidR="00EF02C5" w:rsidRPr="000F57AA" w:rsidRDefault="00EF02C5" w:rsidP="00EF02C5">
      <w:pPr>
        <w:spacing w:after="0"/>
        <w:ind w:firstLine="708"/>
        <w:rPr>
          <w:rFonts w:ascii="Times New Roman" w:eastAsia="Times New Roman" w:hAnsi="Times New Roman" w:cs="Times New Roman"/>
          <w:lang w:val="ro-RO"/>
        </w:rPr>
      </w:pPr>
    </w:p>
    <w:p w14:paraId="004174A1" w14:textId="77777777" w:rsidR="00EF02C5" w:rsidRPr="000F57AA" w:rsidRDefault="00EF02C5" w:rsidP="00EF02C5">
      <w:pPr>
        <w:spacing w:after="0"/>
        <w:ind w:firstLine="708"/>
        <w:rPr>
          <w:rFonts w:ascii="Times New Roman" w:eastAsia="Times New Roman" w:hAnsi="Times New Roman" w:cs="Times New Roman"/>
          <w:lang w:val="ro-RO"/>
        </w:rPr>
      </w:pPr>
    </w:p>
    <w:p w14:paraId="7EE727AE" w14:textId="77777777" w:rsidR="00EF02C5" w:rsidRPr="000F57AA" w:rsidRDefault="00EF02C5" w:rsidP="00EF02C5">
      <w:pPr>
        <w:spacing w:after="0"/>
        <w:ind w:firstLine="708"/>
        <w:rPr>
          <w:rFonts w:ascii="Times New Roman" w:eastAsia="Times New Roman" w:hAnsi="Times New Roman" w:cs="Times New Roman"/>
          <w:lang w:val="ro-RO"/>
        </w:rPr>
      </w:pPr>
    </w:p>
    <w:p w14:paraId="27AE8E2C" w14:textId="77777777" w:rsidR="00EF02C5" w:rsidRPr="000F57AA" w:rsidRDefault="00EF02C5" w:rsidP="00EF02C5">
      <w:pPr>
        <w:spacing w:after="0"/>
        <w:ind w:firstLine="708"/>
        <w:rPr>
          <w:rFonts w:ascii="Times New Roman" w:eastAsia="Times New Roman" w:hAnsi="Times New Roman" w:cs="Times New Roman"/>
          <w:lang w:val="ro-RO"/>
        </w:rPr>
      </w:pPr>
    </w:p>
    <w:p w14:paraId="4B3F6E56" w14:textId="77777777" w:rsidR="00EF02C5" w:rsidRPr="000F57AA" w:rsidRDefault="00EF02C5" w:rsidP="00EF02C5">
      <w:pPr>
        <w:spacing w:after="0"/>
        <w:ind w:firstLine="708"/>
        <w:rPr>
          <w:rFonts w:ascii="Times New Roman" w:eastAsia="Times New Roman" w:hAnsi="Times New Roman" w:cs="Times New Roman"/>
          <w:lang w:val="ro-RO"/>
        </w:rPr>
      </w:pPr>
    </w:p>
    <w:p w14:paraId="3F390CC9" w14:textId="77777777" w:rsidR="00EF02C5" w:rsidRPr="000F57AA" w:rsidRDefault="00EF02C5" w:rsidP="00EF02C5">
      <w:pPr>
        <w:spacing w:after="0"/>
        <w:ind w:firstLine="708"/>
        <w:rPr>
          <w:rFonts w:ascii="Times New Roman" w:eastAsia="Times New Roman" w:hAnsi="Times New Roman" w:cs="Times New Roman"/>
          <w:lang w:val="ro-RO"/>
        </w:rPr>
      </w:pPr>
    </w:p>
    <w:p w14:paraId="105D0C4E" w14:textId="77777777" w:rsidR="00EF02C5" w:rsidRPr="000F57AA" w:rsidRDefault="00EF02C5" w:rsidP="00EF02C5">
      <w:pPr>
        <w:spacing w:after="0"/>
        <w:ind w:firstLine="708"/>
        <w:rPr>
          <w:rFonts w:ascii="Times New Roman" w:eastAsia="Times New Roman" w:hAnsi="Times New Roman" w:cs="Times New Roman"/>
          <w:lang w:val="ro-RO"/>
        </w:rPr>
      </w:pPr>
    </w:p>
    <w:p w14:paraId="1025E5EE" w14:textId="77777777" w:rsidR="00EF02C5" w:rsidRPr="000F57AA" w:rsidRDefault="00EF02C5" w:rsidP="00EF02C5">
      <w:pPr>
        <w:spacing w:after="0"/>
        <w:ind w:firstLine="708"/>
        <w:rPr>
          <w:rFonts w:ascii="Times New Roman" w:eastAsia="Times New Roman" w:hAnsi="Times New Roman" w:cs="Times New Roman"/>
          <w:lang w:val="ro-RO"/>
        </w:rPr>
      </w:pPr>
    </w:p>
    <w:p w14:paraId="2ABEB1BE" w14:textId="77777777" w:rsidR="00EF02C5" w:rsidRPr="000F57AA" w:rsidRDefault="00EF02C5" w:rsidP="00EF02C5">
      <w:pPr>
        <w:spacing w:after="0"/>
        <w:ind w:firstLine="708"/>
        <w:rPr>
          <w:rFonts w:ascii="Times New Roman" w:eastAsia="Times New Roman" w:hAnsi="Times New Roman" w:cs="Times New Roman"/>
          <w:lang w:val="ro-RO"/>
        </w:rPr>
      </w:pPr>
    </w:p>
    <w:p w14:paraId="00DFC8B0" w14:textId="77777777" w:rsidR="00EF02C5" w:rsidRPr="000F57AA" w:rsidRDefault="00EF02C5" w:rsidP="00EF02C5">
      <w:pPr>
        <w:spacing w:after="0"/>
        <w:ind w:firstLine="708"/>
        <w:rPr>
          <w:rFonts w:ascii="Times New Roman" w:eastAsia="Times New Roman" w:hAnsi="Times New Roman" w:cs="Times New Roman"/>
          <w:lang w:val="ro-RO"/>
        </w:rPr>
      </w:pPr>
    </w:p>
    <w:p w14:paraId="63B62098" w14:textId="77777777" w:rsidR="00EF02C5" w:rsidRPr="000F57AA" w:rsidRDefault="00EF02C5" w:rsidP="00EF02C5">
      <w:pPr>
        <w:spacing w:after="0"/>
        <w:ind w:firstLine="708"/>
        <w:rPr>
          <w:rFonts w:ascii="Times New Roman" w:eastAsia="Times New Roman" w:hAnsi="Times New Roman" w:cs="Times New Roman"/>
          <w:lang w:val="ro-RO"/>
        </w:rPr>
      </w:pPr>
    </w:p>
    <w:p w14:paraId="615334E9" w14:textId="77777777" w:rsidR="00EF02C5" w:rsidRPr="000F57AA" w:rsidRDefault="00EF02C5" w:rsidP="00EF02C5">
      <w:pPr>
        <w:spacing w:after="0"/>
        <w:ind w:firstLine="708"/>
        <w:rPr>
          <w:rFonts w:ascii="Times New Roman" w:eastAsia="Times New Roman" w:hAnsi="Times New Roman" w:cs="Times New Roman"/>
          <w:lang w:val="ro-RO"/>
        </w:rPr>
      </w:pPr>
    </w:p>
    <w:p w14:paraId="7F44EB82" w14:textId="77777777" w:rsidR="00EF02C5" w:rsidRPr="000F57AA" w:rsidRDefault="00EF02C5" w:rsidP="00EF02C5">
      <w:pPr>
        <w:spacing w:after="0"/>
        <w:ind w:firstLine="708"/>
        <w:rPr>
          <w:rFonts w:ascii="Times New Roman" w:eastAsia="Times New Roman" w:hAnsi="Times New Roman" w:cs="Times New Roman"/>
          <w:lang w:val="ro-RO"/>
        </w:rPr>
        <w:sectPr w:rsidR="00EF02C5" w:rsidRPr="000F57AA">
          <w:pgSz w:w="11906" w:h="16838"/>
          <w:pgMar w:top="1134" w:right="850" w:bottom="1134" w:left="1701" w:header="708" w:footer="708" w:gutter="0"/>
          <w:cols w:space="708"/>
          <w:docGrid w:linePitch="360"/>
        </w:sectPr>
      </w:pPr>
    </w:p>
    <w:p w14:paraId="5AB56A1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lastRenderedPageBreak/>
        <w:t>C 43.00 - DEFALCAREA ALTERNATIVĂ A COMPONENTELOR INDICATORULUI DE MĂSURARE A EXPUNERII UTILIZAT PENTRU CALCULAREA INDICATORULUI EFECTULUI DE LEVIER (LR4)</w:t>
      </w:r>
    </w:p>
    <w:tbl>
      <w:tblPr>
        <w:tblW w:w="127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3"/>
        <w:gridCol w:w="6804"/>
        <w:gridCol w:w="1374"/>
        <w:gridCol w:w="1190"/>
        <w:gridCol w:w="1374"/>
        <w:gridCol w:w="1165"/>
      </w:tblGrid>
      <w:tr w:rsidR="007D4738" w:rsidRPr="00A05A6A" w14:paraId="2930BECC" w14:textId="77777777" w:rsidTr="0077559D">
        <w:trPr>
          <w:tblCellSpacing w:w="0" w:type="dxa"/>
        </w:trPr>
        <w:tc>
          <w:tcPr>
            <w:tcW w:w="843"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7CB2F26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Rând</w:t>
            </w:r>
          </w:p>
        </w:tc>
        <w:tc>
          <w:tcPr>
            <w:tcW w:w="6804"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780B412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Elemente extrabilanțiere, instrumente financiare derivate, SFT-uri și portofoliu de tranzacționare</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2CF2AE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Valoarea expunerii pentru calcularea indicatorului efectului de levier</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0AD4FC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Cuantumul ponderat la risc al expunerilor</w:t>
            </w:r>
          </w:p>
        </w:tc>
        <w:tc>
          <w:tcPr>
            <w:tcW w:w="2539" w:type="dxa"/>
            <w:gridSpan w:val="2"/>
            <w:tcBorders>
              <w:top w:val="outset" w:sz="6" w:space="0" w:color="auto"/>
              <w:left w:val="outset" w:sz="6" w:space="0" w:color="auto"/>
              <w:bottom w:val="outset" w:sz="6" w:space="0" w:color="auto"/>
              <w:right w:val="outset" w:sz="6" w:space="0" w:color="auto"/>
            </w:tcBorders>
            <w:shd w:val="clear" w:color="auto" w:fill="E7E6E6" w:themeFill="background2"/>
            <w:hideMark/>
          </w:tcPr>
          <w:p w14:paraId="53DB900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 </w:t>
            </w:r>
          </w:p>
        </w:tc>
      </w:tr>
      <w:tr w:rsidR="007D4738" w:rsidRPr="000F57AA" w14:paraId="331A8D42" w14:textId="77777777" w:rsidTr="0077559D">
        <w:trPr>
          <w:tblCellSpacing w:w="0" w:type="dxa"/>
        </w:trPr>
        <w:tc>
          <w:tcPr>
            <w:tcW w:w="843"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E146DAD"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6804"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00C07053"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71A1D7E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0010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8E471C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0020</w:t>
            </w:r>
          </w:p>
        </w:tc>
        <w:tc>
          <w:tcPr>
            <w:tcW w:w="2539" w:type="dxa"/>
            <w:gridSpan w:val="2"/>
            <w:tcBorders>
              <w:top w:val="outset" w:sz="6" w:space="0" w:color="auto"/>
              <w:left w:val="outset" w:sz="6" w:space="0" w:color="auto"/>
              <w:bottom w:val="outset" w:sz="6" w:space="0" w:color="auto"/>
              <w:right w:val="outset" w:sz="6" w:space="0" w:color="auto"/>
            </w:tcBorders>
            <w:shd w:val="clear" w:color="auto" w:fill="E7E6E6" w:themeFill="background2"/>
            <w:hideMark/>
          </w:tcPr>
          <w:p w14:paraId="1EEE32A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 </w:t>
            </w:r>
          </w:p>
        </w:tc>
      </w:tr>
      <w:tr w:rsidR="007D4738" w:rsidRPr="000F57AA" w14:paraId="57E37C78"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1CA9ED3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0010</w:t>
            </w:r>
          </w:p>
        </w:tc>
        <w:tc>
          <w:tcPr>
            <w:tcW w:w="6804" w:type="dxa"/>
            <w:tcBorders>
              <w:top w:val="outset" w:sz="6" w:space="0" w:color="auto"/>
              <w:left w:val="outset" w:sz="6" w:space="0" w:color="auto"/>
              <w:bottom w:val="outset" w:sz="6" w:space="0" w:color="auto"/>
              <w:right w:val="outset" w:sz="6" w:space="0" w:color="auto"/>
            </w:tcBorders>
            <w:hideMark/>
          </w:tcPr>
          <w:p w14:paraId="3DFE922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Elemente extrabilanțiere</w:t>
            </w:r>
          </w:p>
        </w:tc>
        <w:tc>
          <w:tcPr>
            <w:tcW w:w="0" w:type="auto"/>
            <w:tcBorders>
              <w:top w:val="outset" w:sz="6" w:space="0" w:color="auto"/>
              <w:left w:val="outset" w:sz="6" w:space="0" w:color="auto"/>
              <w:bottom w:val="outset" w:sz="6" w:space="0" w:color="auto"/>
              <w:right w:val="outset" w:sz="6" w:space="0" w:color="auto"/>
            </w:tcBorders>
            <w:hideMark/>
          </w:tcPr>
          <w:p w14:paraId="6A39B1F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26D3BB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7399371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0F57AA" w14:paraId="28FF0C06"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4D2ADF0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0020</w:t>
            </w:r>
          </w:p>
        </w:tc>
        <w:tc>
          <w:tcPr>
            <w:tcW w:w="6804" w:type="dxa"/>
            <w:tcBorders>
              <w:top w:val="outset" w:sz="6" w:space="0" w:color="auto"/>
              <w:left w:val="outset" w:sz="6" w:space="0" w:color="auto"/>
              <w:bottom w:val="outset" w:sz="6" w:space="0" w:color="auto"/>
              <w:right w:val="outset" w:sz="6" w:space="0" w:color="auto"/>
            </w:tcBorders>
            <w:hideMark/>
          </w:tcPr>
          <w:p w14:paraId="00BB352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Finanțarea comerțului</w:t>
            </w:r>
          </w:p>
        </w:tc>
        <w:tc>
          <w:tcPr>
            <w:tcW w:w="0" w:type="auto"/>
            <w:tcBorders>
              <w:top w:val="outset" w:sz="6" w:space="0" w:color="auto"/>
              <w:left w:val="outset" w:sz="6" w:space="0" w:color="auto"/>
              <w:bottom w:val="outset" w:sz="6" w:space="0" w:color="auto"/>
              <w:right w:val="outset" w:sz="6" w:space="0" w:color="auto"/>
            </w:tcBorders>
            <w:hideMark/>
          </w:tcPr>
          <w:p w14:paraId="28F2438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115544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5A4F230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0F57AA" w14:paraId="7F52DB2A"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5B7D052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0030</w:t>
            </w:r>
          </w:p>
        </w:tc>
        <w:tc>
          <w:tcPr>
            <w:tcW w:w="6804" w:type="dxa"/>
            <w:tcBorders>
              <w:top w:val="outset" w:sz="6" w:space="0" w:color="auto"/>
              <w:left w:val="outset" w:sz="6" w:space="0" w:color="auto"/>
              <w:bottom w:val="outset" w:sz="6" w:space="0" w:color="auto"/>
              <w:right w:val="outset" w:sz="6" w:space="0" w:color="auto"/>
            </w:tcBorders>
            <w:hideMark/>
          </w:tcPr>
          <w:p w14:paraId="663C04E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În cadrul schemei oficiale de asigurare a creditelor de export</w:t>
            </w:r>
          </w:p>
        </w:tc>
        <w:tc>
          <w:tcPr>
            <w:tcW w:w="0" w:type="auto"/>
            <w:tcBorders>
              <w:top w:val="outset" w:sz="6" w:space="0" w:color="auto"/>
              <w:left w:val="outset" w:sz="6" w:space="0" w:color="auto"/>
              <w:bottom w:val="outset" w:sz="6" w:space="0" w:color="auto"/>
              <w:right w:val="outset" w:sz="6" w:space="0" w:color="auto"/>
            </w:tcBorders>
            <w:hideMark/>
          </w:tcPr>
          <w:p w14:paraId="27961526" w14:textId="664D3264"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3B621DB" w14:textId="3A931CDE"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3D3D9A3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A05A6A" w14:paraId="0563CD4F"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8AEE5A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0040</w:t>
            </w:r>
          </w:p>
        </w:tc>
        <w:tc>
          <w:tcPr>
            <w:tcW w:w="6804" w:type="dxa"/>
            <w:tcBorders>
              <w:top w:val="outset" w:sz="6" w:space="0" w:color="auto"/>
              <w:left w:val="outset" w:sz="6" w:space="0" w:color="auto"/>
              <w:bottom w:val="outset" w:sz="6" w:space="0" w:color="auto"/>
              <w:right w:val="outset" w:sz="6" w:space="0" w:color="auto"/>
            </w:tcBorders>
            <w:hideMark/>
          </w:tcPr>
          <w:p w14:paraId="58ABFF4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Instrumente financiare derivate și SFT-uri care fac obiectul unui acord de compensare între produse diferite</w:t>
            </w:r>
          </w:p>
        </w:tc>
        <w:tc>
          <w:tcPr>
            <w:tcW w:w="0" w:type="auto"/>
            <w:tcBorders>
              <w:top w:val="outset" w:sz="6" w:space="0" w:color="auto"/>
              <w:left w:val="outset" w:sz="6" w:space="0" w:color="auto"/>
              <w:bottom w:val="outset" w:sz="6" w:space="0" w:color="auto"/>
              <w:right w:val="outset" w:sz="6" w:space="0" w:color="auto"/>
            </w:tcBorders>
            <w:hideMark/>
          </w:tcPr>
          <w:p w14:paraId="596CD33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EF05E1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26577D0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A05A6A" w14:paraId="64543C8C"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60C814C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0050</w:t>
            </w:r>
          </w:p>
        </w:tc>
        <w:tc>
          <w:tcPr>
            <w:tcW w:w="6804" w:type="dxa"/>
            <w:tcBorders>
              <w:top w:val="outset" w:sz="6" w:space="0" w:color="auto"/>
              <w:left w:val="outset" w:sz="6" w:space="0" w:color="auto"/>
              <w:bottom w:val="outset" w:sz="6" w:space="0" w:color="auto"/>
              <w:right w:val="outset" w:sz="6" w:space="0" w:color="auto"/>
            </w:tcBorders>
            <w:hideMark/>
          </w:tcPr>
          <w:p w14:paraId="76D228A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Instrumente financiare derivate care nu fac obiectul unui acord de compensare între produse diferite</w:t>
            </w:r>
          </w:p>
        </w:tc>
        <w:tc>
          <w:tcPr>
            <w:tcW w:w="0" w:type="auto"/>
            <w:tcBorders>
              <w:top w:val="outset" w:sz="6" w:space="0" w:color="auto"/>
              <w:left w:val="outset" w:sz="6" w:space="0" w:color="auto"/>
              <w:bottom w:val="outset" w:sz="6" w:space="0" w:color="auto"/>
              <w:right w:val="outset" w:sz="6" w:space="0" w:color="auto"/>
            </w:tcBorders>
            <w:hideMark/>
          </w:tcPr>
          <w:p w14:paraId="776D788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DB5132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66ABB53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A05A6A" w14:paraId="022AF00D"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0EA3B5D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0060</w:t>
            </w:r>
          </w:p>
        </w:tc>
        <w:tc>
          <w:tcPr>
            <w:tcW w:w="6804" w:type="dxa"/>
            <w:tcBorders>
              <w:top w:val="outset" w:sz="6" w:space="0" w:color="auto"/>
              <w:left w:val="outset" w:sz="6" w:space="0" w:color="auto"/>
              <w:bottom w:val="outset" w:sz="6" w:space="0" w:color="auto"/>
              <w:right w:val="outset" w:sz="6" w:space="0" w:color="auto"/>
            </w:tcBorders>
            <w:hideMark/>
          </w:tcPr>
          <w:p w14:paraId="3983603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SFT-uri care nu fac obiectul unui acord de compensare între produse diferite</w:t>
            </w:r>
          </w:p>
        </w:tc>
        <w:tc>
          <w:tcPr>
            <w:tcW w:w="0" w:type="auto"/>
            <w:tcBorders>
              <w:top w:val="outset" w:sz="6" w:space="0" w:color="auto"/>
              <w:left w:val="outset" w:sz="6" w:space="0" w:color="auto"/>
              <w:bottom w:val="outset" w:sz="6" w:space="0" w:color="auto"/>
              <w:right w:val="outset" w:sz="6" w:space="0" w:color="auto"/>
            </w:tcBorders>
            <w:hideMark/>
          </w:tcPr>
          <w:p w14:paraId="000F859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E84904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6E9FC3E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0F57AA" w14:paraId="1B4B071E"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4447DDB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0065</w:t>
            </w:r>
          </w:p>
        </w:tc>
        <w:tc>
          <w:tcPr>
            <w:tcW w:w="6804" w:type="dxa"/>
            <w:tcBorders>
              <w:top w:val="outset" w:sz="6" w:space="0" w:color="auto"/>
              <w:left w:val="outset" w:sz="6" w:space="0" w:color="auto"/>
              <w:bottom w:val="outset" w:sz="6" w:space="0" w:color="auto"/>
              <w:right w:val="outset" w:sz="6" w:space="0" w:color="auto"/>
            </w:tcBorders>
            <w:hideMark/>
          </w:tcPr>
          <w:p w14:paraId="1410A74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Cuantumurile expunerilor rezultate din tratamentul suplimentar al instrumentele financiare derivate de credit</w:t>
            </w:r>
          </w:p>
        </w:tc>
        <w:tc>
          <w:tcPr>
            <w:tcW w:w="0" w:type="auto"/>
            <w:tcBorders>
              <w:top w:val="outset" w:sz="6" w:space="0" w:color="auto"/>
              <w:left w:val="outset" w:sz="6" w:space="0" w:color="auto"/>
              <w:bottom w:val="outset" w:sz="6" w:space="0" w:color="auto"/>
              <w:right w:val="outset" w:sz="6" w:space="0" w:color="auto"/>
            </w:tcBorders>
            <w:hideMark/>
          </w:tcPr>
          <w:p w14:paraId="5DEDD5F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8370F2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2539" w:type="dxa"/>
            <w:gridSpan w:val="2"/>
            <w:tcBorders>
              <w:top w:val="outset" w:sz="6" w:space="0" w:color="auto"/>
              <w:left w:val="outset" w:sz="6" w:space="0" w:color="auto"/>
              <w:bottom w:val="outset" w:sz="6" w:space="0" w:color="auto"/>
              <w:right w:val="outset" w:sz="6" w:space="0" w:color="auto"/>
            </w:tcBorders>
            <w:hideMark/>
          </w:tcPr>
          <w:p w14:paraId="434DD0A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A05A6A" w14:paraId="3DF85B66"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85CB8F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0070</w:t>
            </w:r>
          </w:p>
        </w:tc>
        <w:tc>
          <w:tcPr>
            <w:tcW w:w="6804" w:type="dxa"/>
            <w:tcBorders>
              <w:top w:val="outset" w:sz="6" w:space="0" w:color="auto"/>
              <w:left w:val="outset" w:sz="6" w:space="0" w:color="auto"/>
              <w:bottom w:val="outset" w:sz="6" w:space="0" w:color="auto"/>
              <w:right w:val="outset" w:sz="6" w:space="0" w:color="auto"/>
            </w:tcBorders>
            <w:hideMark/>
          </w:tcPr>
          <w:p w14:paraId="0830452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Alte active din portofoliul de tranzacționare</w:t>
            </w:r>
          </w:p>
        </w:tc>
        <w:tc>
          <w:tcPr>
            <w:tcW w:w="0" w:type="auto"/>
            <w:tcBorders>
              <w:top w:val="outset" w:sz="6" w:space="0" w:color="auto"/>
              <w:left w:val="outset" w:sz="6" w:space="0" w:color="auto"/>
              <w:bottom w:val="outset" w:sz="6" w:space="0" w:color="auto"/>
              <w:right w:val="outset" w:sz="6" w:space="0" w:color="auto"/>
            </w:tcBorders>
            <w:hideMark/>
          </w:tcPr>
          <w:p w14:paraId="3EDAB5B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779728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2539" w:type="dxa"/>
            <w:gridSpan w:val="2"/>
            <w:tcBorders>
              <w:top w:val="outset" w:sz="6" w:space="0" w:color="auto"/>
              <w:left w:val="outset" w:sz="6" w:space="0" w:color="auto"/>
              <w:bottom w:val="outset" w:sz="6" w:space="0" w:color="auto"/>
              <w:right w:val="outset" w:sz="6" w:space="0" w:color="auto"/>
            </w:tcBorders>
            <w:hideMark/>
          </w:tcPr>
          <w:p w14:paraId="392AE74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r>
      <w:tr w:rsidR="007D4738" w:rsidRPr="00A05A6A" w14:paraId="68DFFDBD" w14:textId="77777777" w:rsidTr="0077559D">
        <w:trPr>
          <w:tblCellSpacing w:w="0" w:type="dxa"/>
        </w:trPr>
        <w:tc>
          <w:tcPr>
            <w:tcW w:w="843"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7BD73D8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Rând</w:t>
            </w:r>
          </w:p>
        </w:tc>
        <w:tc>
          <w:tcPr>
            <w:tcW w:w="6804"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0B5F7BD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Alte expuneri din afara portofoliului de tranzacționare</w:t>
            </w:r>
          </w:p>
        </w:tc>
        <w:tc>
          <w:tcPr>
            <w:tcW w:w="0" w:type="auto"/>
            <w:gridSpan w:val="2"/>
            <w:tcBorders>
              <w:top w:val="outset" w:sz="6" w:space="0" w:color="auto"/>
              <w:left w:val="outset" w:sz="6" w:space="0" w:color="auto"/>
              <w:bottom w:val="outset" w:sz="6" w:space="0" w:color="auto"/>
              <w:right w:val="outset" w:sz="6" w:space="0" w:color="auto"/>
            </w:tcBorders>
            <w:shd w:val="clear" w:color="auto" w:fill="E7E6E6" w:themeFill="background2"/>
            <w:hideMark/>
          </w:tcPr>
          <w:p w14:paraId="691DE7C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Valoarea expunerii pentru calcularea indicatorului efectului de levier</w:t>
            </w:r>
          </w:p>
        </w:tc>
        <w:tc>
          <w:tcPr>
            <w:tcW w:w="2539" w:type="dxa"/>
            <w:gridSpan w:val="2"/>
            <w:tcBorders>
              <w:top w:val="outset" w:sz="6" w:space="0" w:color="auto"/>
              <w:left w:val="outset" w:sz="6" w:space="0" w:color="auto"/>
              <w:bottom w:val="outset" w:sz="6" w:space="0" w:color="auto"/>
              <w:right w:val="outset" w:sz="6" w:space="0" w:color="auto"/>
            </w:tcBorders>
            <w:shd w:val="clear" w:color="auto" w:fill="E7E6E6" w:themeFill="background2"/>
            <w:hideMark/>
          </w:tcPr>
          <w:p w14:paraId="3B528C5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Cuantumurile ponderate la risc ale expunerilor</w:t>
            </w:r>
          </w:p>
        </w:tc>
      </w:tr>
      <w:tr w:rsidR="007D4738" w:rsidRPr="00A05A6A" w14:paraId="3F085878" w14:textId="77777777" w:rsidTr="0077559D">
        <w:trPr>
          <w:tblCellSpacing w:w="0" w:type="dxa"/>
        </w:trPr>
        <w:tc>
          <w:tcPr>
            <w:tcW w:w="843"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41624B5"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6804"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08B26EC"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560E64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 xml:space="preserve">Expuneri conform </w:t>
            </w:r>
            <w:r w:rsidRPr="000F57AA">
              <w:rPr>
                <w:rFonts w:ascii="Times New Roman" w:eastAsia="Times New Roman" w:hAnsi="Times New Roman" w:cs="Times New Roman"/>
                <w:b/>
                <w:bCs/>
                <w:lang w:val="ro-RO" w:eastAsia="ro-MD"/>
              </w:rPr>
              <w:lastRenderedPageBreak/>
              <w:t>abordării standardizate</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316E202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lastRenderedPageBreak/>
              <w:t xml:space="preserve">Expuneri conform </w:t>
            </w:r>
            <w:r w:rsidRPr="000F57AA">
              <w:rPr>
                <w:rFonts w:ascii="Times New Roman" w:eastAsia="Times New Roman" w:hAnsi="Times New Roman" w:cs="Times New Roman"/>
                <w:b/>
                <w:bCs/>
                <w:lang w:val="ro-RO" w:eastAsia="ro-MD"/>
              </w:rPr>
              <w:lastRenderedPageBreak/>
              <w:t>abordării bazate pe modele interne de rating</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8D38DF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lastRenderedPageBreak/>
              <w:t xml:space="preserve">Expuneri conform </w:t>
            </w:r>
            <w:r w:rsidRPr="000F57AA">
              <w:rPr>
                <w:rFonts w:ascii="Times New Roman" w:eastAsia="Times New Roman" w:hAnsi="Times New Roman" w:cs="Times New Roman"/>
                <w:b/>
                <w:bCs/>
                <w:lang w:val="ro-RO" w:eastAsia="ro-MD"/>
              </w:rPr>
              <w:lastRenderedPageBreak/>
              <w:t>abordării standardizate</w:t>
            </w:r>
          </w:p>
        </w:tc>
        <w:tc>
          <w:tcPr>
            <w:tcW w:w="116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6FB3AB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lastRenderedPageBreak/>
              <w:t xml:space="preserve">Expuneri conform </w:t>
            </w:r>
            <w:r w:rsidRPr="000F57AA">
              <w:rPr>
                <w:rFonts w:ascii="Times New Roman" w:eastAsia="Times New Roman" w:hAnsi="Times New Roman" w:cs="Times New Roman"/>
                <w:b/>
                <w:bCs/>
                <w:lang w:val="ro-RO" w:eastAsia="ro-MD"/>
              </w:rPr>
              <w:lastRenderedPageBreak/>
              <w:t>abordării bazate pe modele interne de rating</w:t>
            </w:r>
          </w:p>
        </w:tc>
      </w:tr>
      <w:tr w:rsidR="007D4738" w:rsidRPr="000F57AA" w14:paraId="7A0013FA" w14:textId="77777777" w:rsidTr="0077559D">
        <w:trPr>
          <w:tblCellSpacing w:w="0" w:type="dxa"/>
        </w:trPr>
        <w:tc>
          <w:tcPr>
            <w:tcW w:w="843"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3E36D334"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6804"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58514309" w14:textId="77777777" w:rsidR="007D4738" w:rsidRPr="000F57AA" w:rsidRDefault="007D4738" w:rsidP="007D4738">
            <w:pPr>
              <w:spacing w:after="0" w:line="240" w:lineRule="auto"/>
              <w:rPr>
                <w:rFonts w:ascii="Times New Roman" w:eastAsia="Times New Roman" w:hAnsi="Times New Roman" w:cs="Times New Roman"/>
                <w:b/>
                <w:bCs/>
                <w:lang w:val="ro-RO" w:eastAsia="ro-MD"/>
              </w:rPr>
            </w:pP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085A59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0010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622F166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0020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437A76B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0030</w:t>
            </w:r>
          </w:p>
        </w:tc>
        <w:tc>
          <w:tcPr>
            <w:tcW w:w="116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C29C89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b/>
                <w:bCs/>
                <w:lang w:val="ro-RO" w:eastAsia="ro-MD"/>
              </w:rPr>
            </w:pPr>
            <w:r w:rsidRPr="000F57AA">
              <w:rPr>
                <w:rFonts w:ascii="Times New Roman" w:eastAsia="Times New Roman" w:hAnsi="Times New Roman" w:cs="Times New Roman"/>
                <w:b/>
                <w:bCs/>
                <w:lang w:val="ro-RO" w:eastAsia="ro-MD"/>
              </w:rPr>
              <w:t>0040</w:t>
            </w:r>
          </w:p>
        </w:tc>
      </w:tr>
      <w:tr w:rsidR="007D4738" w:rsidRPr="000F57AA" w14:paraId="751E2512"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700B4B9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0080</w:t>
            </w:r>
          </w:p>
        </w:tc>
        <w:tc>
          <w:tcPr>
            <w:tcW w:w="6804" w:type="dxa"/>
            <w:tcBorders>
              <w:top w:val="outset" w:sz="6" w:space="0" w:color="auto"/>
              <w:left w:val="outset" w:sz="6" w:space="0" w:color="auto"/>
              <w:bottom w:val="outset" w:sz="6" w:space="0" w:color="auto"/>
              <w:right w:val="outset" w:sz="6" w:space="0" w:color="auto"/>
            </w:tcBorders>
            <w:hideMark/>
          </w:tcPr>
          <w:p w14:paraId="7C5FBDB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Obligațiuni garantate („covered bonds”)</w:t>
            </w:r>
          </w:p>
        </w:tc>
        <w:tc>
          <w:tcPr>
            <w:tcW w:w="0" w:type="auto"/>
            <w:tcBorders>
              <w:top w:val="outset" w:sz="6" w:space="0" w:color="auto"/>
              <w:left w:val="outset" w:sz="6" w:space="0" w:color="auto"/>
              <w:bottom w:val="outset" w:sz="6" w:space="0" w:color="auto"/>
              <w:right w:val="outset" w:sz="6" w:space="0" w:color="auto"/>
            </w:tcBorders>
            <w:hideMark/>
          </w:tcPr>
          <w:p w14:paraId="7FFEEC6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1C0F9A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33720D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1165" w:type="dxa"/>
            <w:tcBorders>
              <w:top w:val="outset" w:sz="6" w:space="0" w:color="auto"/>
              <w:left w:val="outset" w:sz="6" w:space="0" w:color="auto"/>
              <w:bottom w:val="outset" w:sz="6" w:space="0" w:color="auto"/>
              <w:right w:val="outset" w:sz="6" w:space="0" w:color="auto"/>
            </w:tcBorders>
            <w:hideMark/>
          </w:tcPr>
          <w:p w14:paraId="44F48EF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1B7A3020"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081275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0090</w:t>
            </w:r>
          </w:p>
        </w:tc>
        <w:tc>
          <w:tcPr>
            <w:tcW w:w="6804" w:type="dxa"/>
            <w:tcBorders>
              <w:top w:val="outset" w:sz="6" w:space="0" w:color="auto"/>
              <w:left w:val="outset" w:sz="6" w:space="0" w:color="auto"/>
              <w:bottom w:val="outset" w:sz="6" w:space="0" w:color="auto"/>
              <w:right w:val="outset" w:sz="6" w:space="0" w:color="auto"/>
            </w:tcBorders>
            <w:hideMark/>
          </w:tcPr>
          <w:p w14:paraId="15CEFB9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tratate ca suverane</w:t>
            </w:r>
          </w:p>
        </w:tc>
        <w:tc>
          <w:tcPr>
            <w:tcW w:w="0" w:type="auto"/>
            <w:tcBorders>
              <w:top w:val="outset" w:sz="6" w:space="0" w:color="auto"/>
              <w:left w:val="outset" w:sz="6" w:space="0" w:color="auto"/>
              <w:bottom w:val="outset" w:sz="6" w:space="0" w:color="auto"/>
              <w:right w:val="outset" w:sz="6" w:space="0" w:color="auto"/>
            </w:tcBorders>
            <w:hideMark/>
          </w:tcPr>
          <w:p w14:paraId="40959DA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6CED1E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758A0B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6E1AF6C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65487884"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3994EA9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0100</w:t>
            </w:r>
          </w:p>
        </w:tc>
        <w:tc>
          <w:tcPr>
            <w:tcW w:w="6804" w:type="dxa"/>
            <w:tcBorders>
              <w:top w:val="outset" w:sz="6" w:space="0" w:color="auto"/>
              <w:left w:val="outset" w:sz="6" w:space="0" w:color="auto"/>
              <w:bottom w:val="outset" w:sz="6" w:space="0" w:color="auto"/>
              <w:right w:val="outset" w:sz="6" w:space="0" w:color="auto"/>
            </w:tcBorders>
            <w:hideMark/>
          </w:tcPr>
          <w:p w14:paraId="20F911E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Administrații centrale și bănci centrale</w:t>
            </w:r>
          </w:p>
        </w:tc>
        <w:tc>
          <w:tcPr>
            <w:tcW w:w="0" w:type="auto"/>
            <w:tcBorders>
              <w:top w:val="outset" w:sz="6" w:space="0" w:color="auto"/>
              <w:left w:val="outset" w:sz="6" w:space="0" w:color="auto"/>
              <w:bottom w:val="outset" w:sz="6" w:space="0" w:color="auto"/>
              <w:right w:val="outset" w:sz="6" w:space="0" w:color="auto"/>
            </w:tcBorders>
            <w:hideMark/>
          </w:tcPr>
          <w:p w14:paraId="0E2FA8D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56D6AF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1AC7EC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188B9B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63867CBB"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844492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0110</w:t>
            </w:r>
          </w:p>
        </w:tc>
        <w:tc>
          <w:tcPr>
            <w:tcW w:w="6804" w:type="dxa"/>
            <w:tcBorders>
              <w:top w:val="outset" w:sz="6" w:space="0" w:color="auto"/>
              <w:left w:val="outset" w:sz="6" w:space="0" w:color="auto"/>
              <w:bottom w:val="outset" w:sz="6" w:space="0" w:color="auto"/>
              <w:right w:val="outset" w:sz="6" w:space="0" w:color="auto"/>
            </w:tcBorders>
            <w:hideMark/>
          </w:tcPr>
          <w:p w14:paraId="5EB737E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Administrații regionale și autorități locale,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35E897D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7162E2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8F4A11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1165" w:type="dxa"/>
            <w:tcBorders>
              <w:top w:val="outset" w:sz="6" w:space="0" w:color="auto"/>
              <w:left w:val="outset" w:sz="6" w:space="0" w:color="auto"/>
              <w:bottom w:val="outset" w:sz="6" w:space="0" w:color="auto"/>
              <w:right w:val="outset" w:sz="6" w:space="0" w:color="auto"/>
            </w:tcBorders>
            <w:hideMark/>
          </w:tcPr>
          <w:p w14:paraId="0BD41DC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49F87976"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396C094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0120</w:t>
            </w:r>
          </w:p>
        </w:tc>
        <w:tc>
          <w:tcPr>
            <w:tcW w:w="6804" w:type="dxa"/>
            <w:tcBorders>
              <w:top w:val="outset" w:sz="6" w:space="0" w:color="auto"/>
              <w:left w:val="outset" w:sz="6" w:space="0" w:color="auto"/>
              <w:bottom w:val="outset" w:sz="6" w:space="0" w:color="auto"/>
              <w:right w:val="outset" w:sz="6" w:space="0" w:color="auto"/>
            </w:tcBorders>
            <w:hideMark/>
          </w:tcPr>
          <w:p w14:paraId="00AD69A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Bănci de dezvoltare multilaterală și organizații internaționale,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17BAD24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520F65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C97F83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D1AD8B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03D033AD"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5C58784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0130</w:t>
            </w:r>
          </w:p>
        </w:tc>
        <w:tc>
          <w:tcPr>
            <w:tcW w:w="6804" w:type="dxa"/>
            <w:tcBorders>
              <w:top w:val="outset" w:sz="6" w:space="0" w:color="auto"/>
              <w:left w:val="outset" w:sz="6" w:space="0" w:color="auto"/>
              <w:bottom w:val="outset" w:sz="6" w:space="0" w:color="auto"/>
              <w:right w:val="outset" w:sz="6" w:space="0" w:color="auto"/>
            </w:tcBorders>
            <w:hideMark/>
          </w:tcPr>
          <w:p w14:paraId="490C63B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Entități din sectorul public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7B5B18D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0D5898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B0A2FE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60DC706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CD40FCD"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655B1FA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0140</w:t>
            </w:r>
          </w:p>
        </w:tc>
        <w:tc>
          <w:tcPr>
            <w:tcW w:w="6804" w:type="dxa"/>
            <w:tcBorders>
              <w:top w:val="outset" w:sz="6" w:space="0" w:color="auto"/>
              <w:left w:val="outset" w:sz="6" w:space="0" w:color="auto"/>
              <w:bottom w:val="outset" w:sz="6" w:space="0" w:color="auto"/>
              <w:right w:val="outset" w:sz="6" w:space="0" w:color="auto"/>
            </w:tcBorders>
            <w:hideMark/>
          </w:tcPr>
          <w:p w14:paraId="73DB3A0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față de administrații regionale, bănci de dezvoltare multilaterală, organizații internaționale și entități din sectorul public care nu sunt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3C4D833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4AEE39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45EDEB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0692124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E5C6C51"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5E6EF56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0150</w:t>
            </w:r>
          </w:p>
        </w:tc>
        <w:tc>
          <w:tcPr>
            <w:tcW w:w="6804" w:type="dxa"/>
            <w:tcBorders>
              <w:top w:val="outset" w:sz="6" w:space="0" w:color="auto"/>
              <w:left w:val="outset" w:sz="6" w:space="0" w:color="auto"/>
              <w:bottom w:val="outset" w:sz="6" w:space="0" w:color="auto"/>
              <w:right w:val="outset" w:sz="6" w:space="0" w:color="auto"/>
            </w:tcBorders>
            <w:hideMark/>
          </w:tcPr>
          <w:p w14:paraId="61CA3B2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Administrații regionale și autorități locale care nu sunt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264C17D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03C6B2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8E87AC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49BB37E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6AAB5DEE"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AB4194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0160</w:t>
            </w:r>
          </w:p>
        </w:tc>
        <w:tc>
          <w:tcPr>
            <w:tcW w:w="6804" w:type="dxa"/>
            <w:tcBorders>
              <w:top w:val="outset" w:sz="6" w:space="0" w:color="auto"/>
              <w:left w:val="outset" w:sz="6" w:space="0" w:color="auto"/>
              <w:bottom w:val="outset" w:sz="6" w:space="0" w:color="auto"/>
              <w:right w:val="outset" w:sz="6" w:space="0" w:color="auto"/>
            </w:tcBorders>
            <w:hideMark/>
          </w:tcPr>
          <w:p w14:paraId="5A3A4E9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Bănci de dezvoltare multilaterală care nu sunt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09E617F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B31B35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CBA30A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2DE94FE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1FEE7CD"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4B3F6DD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0170</w:t>
            </w:r>
          </w:p>
        </w:tc>
        <w:tc>
          <w:tcPr>
            <w:tcW w:w="6804" w:type="dxa"/>
            <w:tcBorders>
              <w:top w:val="outset" w:sz="6" w:space="0" w:color="auto"/>
              <w:left w:val="outset" w:sz="6" w:space="0" w:color="auto"/>
              <w:bottom w:val="outset" w:sz="6" w:space="0" w:color="auto"/>
              <w:right w:val="outset" w:sz="6" w:space="0" w:color="auto"/>
            </w:tcBorders>
            <w:hideMark/>
          </w:tcPr>
          <w:p w14:paraId="5B64DC8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Entități din sectorul public care nu sunt tratate ca entități suverane</w:t>
            </w:r>
          </w:p>
        </w:tc>
        <w:tc>
          <w:tcPr>
            <w:tcW w:w="0" w:type="auto"/>
            <w:tcBorders>
              <w:top w:val="outset" w:sz="6" w:space="0" w:color="auto"/>
              <w:left w:val="outset" w:sz="6" w:space="0" w:color="auto"/>
              <w:bottom w:val="outset" w:sz="6" w:space="0" w:color="auto"/>
              <w:right w:val="outset" w:sz="6" w:space="0" w:color="auto"/>
            </w:tcBorders>
            <w:hideMark/>
          </w:tcPr>
          <w:p w14:paraId="476C9BE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CA4DE1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BE983B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586E7EA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43B16A69"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4B0F705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0180</w:t>
            </w:r>
          </w:p>
        </w:tc>
        <w:tc>
          <w:tcPr>
            <w:tcW w:w="6804" w:type="dxa"/>
            <w:tcBorders>
              <w:top w:val="outset" w:sz="6" w:space="0" w:color="auto"/>
              <w:left w:val="outset" w:sz="6" w:space="0" w:color="auto"/>
              <w:bottom w:val="outset" w:sz="6" w:space="0" w:color="auto"/>
              <w:right w:val="outset" w:sz="6" w:space="0" w:color="auto"/>
            </w:tcBorders>
            <w:hideMark/>
          </w:tcPr>
          <w:p w14:paraId="2A55EE1C" w14:textId="47433267" w:rsidR="007D4738" w:rsidRPr="000F57AA" w:rsidRDefault="005104E0"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Bănci</w:t>
            </w:r>
          </w:p>
        </w:tc>
        <w:tc>
          <w:tcPr>
            <w:tcW w:w="0" w:type="auto"/>
            <w:tcBorders>
              <w:top w:val="outset" w:sz="6" w:space="0" w:color="auto"/>
              <w:left w:val="outset" w:sz="6" w:space="0" w:color="auto"/>
              <w:bottom w:val="outset" w:sz="6" w:space="0" w:color="auto"/>
              <w:right w:val="outset" w:sz="6" w:space="0" w:color="auto"/>
            </w:tcBorders>
            <w:hideMark/>
          </w:tcPr>
          <w:p w14:paraId="3D9C719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5BEFB1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AB3422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49FE814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31BED65"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084C292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0190</w:t>
            </w:r>
          </w:p>
        </w:tc>
        <w:tc>
          <w:tcPr>
            <w:tcW w:w="6804" w:type="dxa"/>
            <w:tcBorders>
              <w:top w:val="outset" w:sz="6" w:space="0" w:color="auto"/>
              <w:left w:val="outset" w:sz="6" w:space="0" w:color="auto"/>
              <w:bottom w:val="outset" w:sz="6" w:space="0" w:color="auto"/>
              <w:right w:val="outset" w:sz="6" w:space="0" w:color="auto"/>
            </w:tcBorders>
            <w:hideMark/>
          </w:tcPr>
          <w:p w14:paraId="6CD3329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Garantate cu ipoteci asupra bunurilor imobile</w:t>
            </w:r>
          </w:p>
        </w:tc>
        <w:tc>
          <w:tcPr>
            <w:tcW w:w="0" w:type="auto"/>
            <w:tcBorders>
              <w:top w:val="outset" w:sz="6" w:space="0" w:color="auto"/>
              <w:left w:val="outset" w:sz="6" w:space="0" w:color="auto"/>
              <w:bottom w:val="outset" w:sz="6" w:space="0" w:color="auto"/>
              <w:right w:val="outset" w:sz="6" w:space="0" w:color="auto"/>
            </w:tcBorders>
            <w:hideMark/>
          </w:tcPr>
          <w:p w14:paraId="7D4926B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A5E521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0F80AEC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56BCC69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540EDB00"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016F014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0200</w:t>
            </w:r>
          </w:p>
        </w:tc>
        <w:tc>
          <w:tcPr>
            <w:tcW w:w="6804" w:type="dxa"/>
            <w:tcBorders>
              <w:top w:val="outset" w:sz="6" w:space="0" w:color="auto"/>
              <w:left w:val="outset" w:sz="6" w:space="0" w:color="auto"/>
              <w:bottom w:val="outset" w:sz="6" w:space="0" w:color="auto"/>
              <w:right w:val="outset" w:sz="6" w:space="0" w:color="auto"/>
            </w:tcBorders>
            <w:hideMark/>
          </w:tcPr>
          <w:p w14:paraId="1A91B70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Garantate cu ipoteci asupra bunurilor imobile locative</w:t>
            </w:r>
          </w:p>
        </w:tc>
        <w:tc>
          <w:tcPr>
            <w:tcW w:w="0" w:type="auto"/>
            <w:tcBorders>
              <w:top w:val="outset" w:sz="6" w:space="0" w:color="auto"/>
              <w:left w:val="outset" w:sz="6" w:space="0" w:color="auto"/>
              <w:bottom w:val="outset" w:sz="6" w:space="0" w:color="auto"/>
              <w:right w:val="outset" w:sz="6" w:space="0" w:color="auto"/>
            </w:tcBorders>
            <w:hideMark/>
          </w:tcPr>
          <w:p w14:paraId="63262E2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C65C0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6C4B13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2CF417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6F44ABEB"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58F4835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0210</w:t>
            </w:r>
          </w:p>
        </w:tc>
        <w:tc>
          <w:tcPr>
            <w:tcW w:w="6804" w:type="dxa"/>
            <w:tcBorders>
              <w:top w:val="outset" w:sz="6" w:space="0" w:color="auto"/>
              <w:left w:val="outset" w:sz="6" w:space="0" w:color="auto"/>
              <w:bottom w:val="outset" w:sz="6" w:space="0" w:color="auto"/>
              <w:right w:val="outset" w:sz="6" w:space="0" w:color="auto"/>
            </w:tcBorders>
            <w:hideMark/>
          </w:tcPr>
          <w:p w14:paraId="376063F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de tip retail</w:t>
            </w:r>
          </w:p>
        </w:tc>
        <w:tc>
          <w:tcPr>
            <w:tcW w:w="0" w:type="auto"/>
            <w:tcBorders>
              <w:top w:val="outset" w:sz="6" w:space="0" w:color="auto"/>
              <w:left w:val="outset" w:sz="6" w:space="0" w:color="auto"/>
              <w:bottom w:val="outset" w:sz="6" w:space="0" w:color="auto"/>
              <w:right w:val="outset" w:sz="6" w:space="0" w:color="auto"/>
            </w:tcBorders>
            <w:hideMark/>
          </w:tcPr>
          <w:p w14:paraId="07E905F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197279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ED637D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2B296CE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7D908173"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38843ED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0220</w:t>
            </w:r>
          </w:p>
        </w:tc>
        <w:tc>
          <w:tcPr>
            <w:tcW w:w="6804" w:type="dxa"/>
            <w:tcBorders>
              <w:top w:val="outset" w:sz="6" w:space="0" w:color="auto"/>
              <w:left w:val="outset" w:sz="6" w:space="0" w:color="auto"/>
              <w:bottom w:val="outset" w:sz="6" w:space="0" w:color="auto"/>
              <w:right w:val="outset" w:sz="6" w:space="0" w:color="auto"/>
            </w:tcBorders>
            <w:hideMark/>
          </w:tcPr>
          <w:p w14:paraId="446AE03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Expuneri de tip retail față de IMM-uri</w:t>
            </w:r>
          </w:p>
        </w:tc>
        <w:tc>
          <w:tcPr>
            <w:tcW w:w="0" w:type="auto"/>
            <w:tcBorders>
              <w:top w:val="outset" w:sz="6" w:space="0" w:color="auto"/>
              <w:left w:val="outset" w:sz="6" w:space="0" w:color="auto"/>
              <w:bottom w:val="outset" w:sz="6" w:space="0" w:color="auto"/>
              <w:right w:val="outset" w:sz="6" w:space="0" w:color="auto"/>
            </w:tcBorders>
            <w:hideMark/>
          </w:tcPr>
          <w:p w14:paraId="5328ADB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A9C47F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882122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70FEE47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11332171"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BC3044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0230</w:t>
            </w:r>
          </w:p>
        </w:tc>
        <w:tc>
          <w:tcPr>
            <w:tcW w:w="6804" w:type="dxa"/>
            <w:tcBorders>
              <w:top w:val="outset" w:sz="6" w:space="0" w:color="auto"/>
              <w:left w:val="outset" w:sz="6" w:space="0" w:color="auto"/>
              <w:bottom w:val="outset" w:sz="6" w:space="0" w:color="auto"/>
              <w:right w:val="outset" w:sz="6" w:space="0" w:color="auto"/>
            </w:tcBorders>
            <w:hideMark/>
          </w:tcPr>
          <w:p w14:paraId="7388CA9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Societăți</w:t>
            </w:r>
          </w:p>
        </w:tc>
        <w:tc>
          <w:tcPr>
            <w:tcW w:w="0" w:type="auto"/>
            <w:tcBorders>
              <w:top w:val="outset" w:sz="6" w:space="0" w:color="auto"/>
              <w:left w:val="outset" w:sz="6" w:space="0" w:color="auto"/>
              <w:bottom w:val="outset" w:sz="6" w:space="0" w:color="auto"/>
              <w:right w:val="outset" w:sz="6" w:space="0" w:color="auto"/>
            </w:tcBorders>
            <w:hideMark/>
          </w:tcPr>
          <w:p w14:paraId="61D22EF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761C29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5C728EB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1D9F25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04F3EF14"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7196AF1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0240</w:t>
            </w:r>
          </w:p>
        </w:tc>
        <w:tc>
          <w:tcPr>
            <w:tcW w:w="6804" w:type="dxa"/>
            <w:tcBorders>
              <w:top w:val="outset" w:sz="6" w:space="0" w:color="auto"/>
              <w:left w:val="outset" w:sz="6" w:space="0" w:color="auto"/>
              <w:bottom w:val="outset" w:sz="6" w:space="0" w:color="auto"/>
              <w:right w:val="outset" w:sz="6" w:space="0" w:color="auto"/>
            </w:tcBorders>
            <w:hideMark/>
          </w:tcPr>
          <w:p w14:paraId="3CC8B4D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Societăți financiare</w:t>
            </w:r>
          </w:p>
        </w:tc>
        <w:tc>
          <w:tcPr>
            <w:tcW w:w="0" w:type="auto"/>
            <w:tcBorders>
              <w:top w:val="outset" w:sz="6" w:space="0" w:color="auto"/>
              <w:left w:val="outset" w:sz="6" w:space="0" w:color="auto"/>
              <w:bottom w:val="outset" w:sz="6" w:space="0" w:color="auto"/>
              <w:right w:val="outset" w:sz="6" w:space="0" w:color="auto"/>
            </w:tcBorders>
            <w:hideMark/>
          </w:tcPr>
          <w:p w14:paraId="7ACD824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90BBB2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217AD9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16B85A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05BBC6A"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1D2792B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0250</w:t>
            </w:r>
          </w:p>
        </w:tc>
        <w:tc>
          <w:tcPr>
            <w:tcW w:w="6804" w:type="dxa"/>
            <w:tcBorders>
              <w:top w:val="outset" w:sz="6" w:space="0" w:color="auto"/>
              <w:left w:val="outset" w:sz="6" w:space="0" w:color="auto"/>
              <w:bottom w:val="outset" w:sz="6" w:space="0" w:color="auto"/>
              <w:right w:val="outset" w:sz="6" w:space="0" w:color="auto"/>
            </w:tcBorders>
            <w:hideMark/>
          </w:tcPr>
          <w:p w14:paraId="1233E55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Societăți nefinanciare</w:t>
            </w:r>
          </w:p>
        </w:tc>
        <w:tc>
          <w:tcPr>
            <w:tcW w:w="0" w:type="auto"/>
            <w:tcBorders>
              <w:top w:val="outset" w:sz="6" w:space="0" w:color="auto"/>
              <w:left w:val="outset" w:sz="6" w:space="0" w:color="auto"/>
              <w:bottom w:val="outset" w:sz="6" w:space="0" w:color="auto"/>
              <w:right w:val="outset" w:sz="6" w:space="0" w:color="auto"/>
            </w:tcBorders>
            <w:hideMark/>
          </w:tcPr>
          <w:p w14:paraId="6BF1642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69B7B6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5D97BBA"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736C649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EA6ADAA"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7A57F3F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lastRenderedPageBreak/>
              <w:t>0260</w:t>
            </w:r>
          </w:p>
        </w:tc>
        <w:tc>
          <w:tcPr>
            <w:tcW w:w="6804" w:type="dxa"/>
            <w:tcBorders>
              <w:top w:val="outset" w:sz="6" w:space="0" w:color="auto"/>
              <w:left w:val="outset" w:sz="6" w:space="0" w:color="auto"/>
              <w:bottom w:val="outset" w:sz="6" w:space="0" w:color="auto"/>
              <w:right w:val="outset" w:sz="6" w:space="0" w:color="auto"/>
            </w:tcBorders>
            <w:hideMark/>
          </w:tcPr>
          <w:p w14:paraId="1B37332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față de IMM-uri</w:t>
            </w:r>
          </w:p>
        </w:tc>
        <w:tc>
          <w:tcPr>
            <w:tcW w:w="0" w:type="auto"/>
            <w:tcBorders>
              <w:top w:val="outset" w:sz="6" w:space="0" w:color="auto"/>
              <w:left w:val="outset" w:sz="6" w:space="0" w:color="auto"/>
              <w:bottom w:val="outset" w:sz="6" w:space="0" w:color="auto"/>
              <w:right w:val="outset" w:sz="6" w:space="0" w:color="auto"/>
            </w:tcBorders>
            <w:hideMark/>
          </w:tcPr>
          <w:p w14:paraId="2FB34DA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CB675E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4ED6EDC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266C954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35B7D5FF"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4B611E6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0270</w:t>
            </w:r>
          </w:p>
        </w:tc>
        <w:tc>
          <w:tcPr>
            <w:tcW w:w="6804" w:type="dxa"/>
            <w:tcBorders>
              <w:top w:val="outset" w:sz="6" w:space="0" w:color="auto"/>
              <w:left w:val="outset" w:sz="6" w:space="0" w:color="auto"/>
              <w:bottom w:val="outset" w:sz="6" w:space="0" w:color="auto"/>
              <w:right w:val="outset" w:sz="6" w:space="0" w:color="auto"/>
            </w:tcBorders>
            <w:hideMark/>
          </w:tcPr>
          <w:p w14:paraId="67D973B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altele decât expunerile față de IMM-uri</w:t>
            </w:r>
          </w:p>
        </w:tc>
        <w:tc>
          <w:tcPr>
            <w:tcW w:w="0" w:type="auto"/>
            <w:tcBorders>
              <w:top w:val="outset" w:sz="6" w:space="0" w:color="auto"/>
              <w:left w:val="outset" w:sz="6" w:space="0" w:color="auto"/>
              <w:bottom w:val="outset" w:sz="6" w:space="0" w:color="auto"/>
              <w:right w:val="outset" w:sz="6" w:space="0" w:color="auto"/>
            </w:tcBorders>
            <w:hideMark/>
          </w:tcPr>
          <w:p w14:paraId="1C3858A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8AE6C4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167C45D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3891355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1330FE38"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6899627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0280</w:t>
            </w:r>
          </w:p>
        </w:tc>
        <w:tc>
          <w:tcPr>
            <w:tcW w:w="6804" w:type="dxa"/>
            <w:tcBorders>
              <w:top w:val="outset" w:sz="6" w:space="0" w:color="auto"/>
              <w:left w:val="outset" w:sz="6" w:space="0" w:color="auto"/>
              <w:bottom w:val="outset" w:sz="6" w:space="0" w:color="auto"/>
              <w:right w:val="outset" w:sz="6" w:space="0" w:color="auto"/>
            </w:tcBorders>
            <w:hideMark/>
          </w:tcPr>
          <w:p w14:paraId="5F6440DB"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Expuneri în stare de nerambursare</w:t>
            </w:r>
          </w:p>
        </w:tc>
        <w:tc>
          <w:tcPr>
            <w:tcW w:w="0" w:type="auto"/>
            <w:tcBorders>
              <w:top w:val="outset" w:sz="6" w:space="0" w:color="auto"/>
              <w:left w:val="outset" w:sz="6" w:space="0" w:color="auto"/>
              <w:bottom w:val="outset" w:sz="6" w:space="0" w:color="auto"/>
              <w:right w:val="outset" w:sz="6" w:space="0" w:color="auto"/>
            </w:tcBorders>
            <w:hideMark/>
          </w:tcPr>
          <w:p w14:paraId="2418FD88"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6DC31A6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0D9C77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6DC755B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7AB7BCBE"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599553A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0290</w:t>
            </w:r>
          </w:p>
        </w:tc>
        <w:tc>
          <w:tcPr>
            <w:tcW w:w="6804" w:type="dxa"/>
            <w:tcBorders>
              <w:top w:val="outset" w:sz="6" w:space="0" w:color="auto"/>
              <w:left w:val="outset" w:sz="6" w:space="0" w:color="auto"/>
              <w:bottom w:val="outset" w:sz="6" w:space="0" w:color="auto"/>
              <w:right w:val="outset" w:sz="6" w:space="0" w:color="auto"/>
            </w:tcBorders>
            <w:hideMark/>
          </w:tcPr>
          <w:p w14:paraId="50B6248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Alte expuneri</w:t>
            </w:r>
          </w:p>
        </w:tc>
        <w:tc>
          <w:tcPr>
            <w:tcW w:w="0" w:type="auto"/>
            <w:tcBorders>
              <w:top w:val="outset" w:sz="6" w:space="0" w:color="auto"/>
              <w:left w:val="outset" w:sz="6" w:space="0" w:color="auto"/>
              <w:bottom w:val="outset" w:sz="6" w:space="0" w:color="auto"/>
              <w:right w:val="outset" w:sz="6" w:space="0" w:color="auto"/>
            </w:tcBorders>
            <w:hideMark/>
          </w:tcPr>
          <w:p w14:paraId="76A4FFA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2EF8520"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29D2FAF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1DF27D25"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39F918AD"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75D0D01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0300</w:t>
            </w:r>
          </w:p>
        </w:tc>
        <w:tc>
          <w:tcPr>
            <w:tcW w:w="6804" w:type="dxa"/>
            <w:tcBorders>
              <w:top w:val="outset" w:sz="6" w:space="0" w:color="auto"/>
              <w:left w:val="outset" w:sz="6" w:space="0" w:color="auto"/>
              <w:bottom w:val="outset" w:sz="6" w:space="0" w:color="auto"/>
              <w:right w:val="outset" w:sz="6" w:space="0" w:color="auto"/>
            </w:tcBorders>
            <w:hideMark/>
          </w:tcPr>
          <w:p w14:paraId="66CBE0F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expuneri din securitizare</w:t>
            </w:r>
          </w:p>
        </w:tc>
        <w:tc>
          <w:tcPr>
            <w:tcW w:w="0" w:type="auto"/>
            <w:tcBorders>
              <w:top w:val="outset" w:sz="6" w:space="0" w:color="auto"/>
              <w:left w:val="outset" w:sz="6" w:space="0" w:color="auto"/>
              <w:bottom w:val="outset" w:sz="6" w:space="0" w:color="auto"/>
              <w:right w:val="outset" w:sz="6" w:space="0" w:color="auto"/>
            </w:tcBorders>
            <w:hideMark/>
          </w:tcPr>
          <w:p w14:paraId="368333A3"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260B30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32C00F72"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1165" w:type="dxa"/>
            <w:tcBorders>
              <w:top w:val="outset" w:sz="6" w:space="0" w:color="auto"/>
              <w:left w:val="outset" w:sz="6" w:space="0" w:color="auto"/>
              <w:bottom w:val="outset" w:sz="6" w:space="0" w:color="auto"/>
              <w:right w:val="outset" w:sz="6" w:space="0" w:color="auto"/>
            </w:tcBorders>
            <w:hideMark/>
          </w:tcPr>
          <w:p w14:paraId="0D1D5957"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2CD69570"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243475EC"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0310</w:t>
            </w:r>
          </w:p>
        </w:tc>
        <w:tc>
          <w:tcPr>
            <w:tcW w:w="6804" w:type="dxa"/>
            <w:tcBorders>
              <w:top w:val="outset" w:sz="6" w:space="0" w:color="auto"/>
              <w:left w:val="outset" w:sz="6" w:space="0" w:color="auto"/>
              <w:bottom w:val="outset" w:sz="6" w:space="0" w:color="auto"/>
              <w:right w:val="outset" w:sz="6" w:space="0" w:color="auto"/>
            </w:tcBorders>
            <w:hideMark/>
          </w:tcPr>
          <w:p w14:paraId="0B9CA6BE"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Finanțarea comerțului (element memorandum)</w:t>
            </w:r>
          </w:p>
        </w:tc>
        <w:tc>
          <w:tcPr>
            <w:tcW w:w="0" w:type="auto"/>
            <w:tcBorders>
              <w:top w:val="outset" w:sz="6" w:space="0" w:color="auto"/>
              <w:left w:val="outset" w:sz="6" w:space="0" w:color="auto"/>
              <w:bottom w:val="outset" w:sz="6" w:space="0" w:color="auto"/>
              <w:right w:val="outset" w:sz="6" w:space="0" w:color="auto"/>
            </w:tcBorders>
            <w:hideMark/>
          </w:tcPr>
          <w:p w14:paraId="13B58FDB" w14:textId="38C731C3"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375C8D51"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74A61E36" w14:textId="4CCCD9C2"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23E1E9E4"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r w:rsidR="007D4738" w:rsidRPr="000F57AA" w14:paraId="53DF7C32" w14:textId="77777777" w:rsidTr="0077559D">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14:paraId="3F2FB9B6"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0320</w:t>
            </w:r>
          </w:p>
        </w:tc>
        <w:tc>
          <w:tcPr>
            <w:tcW w:w="6804" w:type="dxa"/>
            <w:tcBorders>
              <w:top w:val="outset" w:sz="6" w:space="0" w:color="auto"/>
              <w:left w:val="outset" w:sz="6" w:space="0" w:color="auto"/>
              <w:bottom w:val="outset" w:sz="6" w:space="0" w:color="auto"/>
              <w:right w:val="outset" w:sz="6" w:space="0" w:color="auto"/>
            </w:tcBorders>
            <w:hideMark/>
          </w:tcPr>
          <w:p w14:paraId="24F454A9"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din care: În cadrul schemei oficiale de asigurare a creditelor de export</w:t>
            </w:r>
          </w:p>
        </w:tc>
        <w:tc>
          <w:tcPr>
            <w:tcW w:w="0" w:type="auto"/>
            <w:tcBorders>
              <w:top w:val="outset" w:sz="6" w:space="0" w:color="auto"/>
              <w:left w:val="outset" w:sz="6" w:space="0" w:color="auto"/>
              <w:bottom w:val="outset" w:sz="6" w:space="0" w:color="auto"/>
              <w:right w:val="outset" w:sz="6" w:space="0" w:color="auto"/>
            </w:tcBorders>
            <w:hideMark/>
          </w:tcPr>
          <w:p w14:paraId="4C608D31" w14:textId="69CAD219"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2F157AAD"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c>
          <w:tcPr>
            <w:tcW w:w="0" w:type="auto"/>
            <w:tcBorders>
              <w:top w:val="outset" w:sz="6" w:space="0" w:color="auto"/>
              <w:left w:val="outset" w:sz="6" w:space="0" w:color="auto"/>
              <w:bottom w:val="outset" w:sz="6" w:space="0" w:color="auto"/>
              <w:right w:val="outset" w:sz="6" w:space="0" w:color="auto"/>
            </w:tcBorders>
            <w:hideMark/>
          </w:tcPr>
          <w:p w14:paraId="66100B92" w14:textId="24EAF521"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w:t>
            </w:r>
          </w:p>
        </w:tc>
        <w:tc>
          <w:tcPr>
            <w:tcW w:w="1165" w:type="dxa"/>
            <w:tcBorders>
              <w:top w:val="outset" w:sz="6" w:space="0" w:color="auto"/>
              <w:left w:val="outset" w:sz="6" w:space="0" w:color="auto"/>
              <w:bottom w:val="outset" w:sz="6" w:space="0" w:color="auto"/>
              <w:right w:val="outset" w:sz="6" w:space="0" w:color="auto"/>
            </w:tcBorders>
            <w:hideMark/>
          </w:tcPr>
          <w:p w14:paraId="1098E03F" w14:textId="77777777" w:rsidR="007D4738" w:rsidRPr="000F57AA" w:rsidRDefault="007D4738" w:rsidP="007D4738">
            <w:pPr>
              <w:spacing w:before="100" w:beforeAutospacing="1" w:after="100" w:afterAutospacing="1" w:line="240" w:lineRule="auto"/>
              <w:rPr>
                <w:rFonts w:ascii="Times New Roman" w:eastAsia="Times New Roman" w:hAnsi="Times New Roman" w:cs="Times New Roman"/>
                <w:lang w:val="ro-RO" w:eastAsia="ro-MD"/>
              </w:rPr>
            </w:pPr>
            <w:r w:rsidRPr="000F57AA">
              <w:rPr>
                <w:rFonts w:ascii="Times New Roman" w:eastAsia="Times New Roman" w:hAnsi="Times New Roman" w:cs="Times New Roman"/>
                <w:lang w:val="ro-RO" w:eastAsia="ro-MD"/>
              </w:rPr>
              <w:t> X</w:t>
            </w:r>
          </w:p>
        </w:tc>
      </w:tr>
    </w:tbl>
    <w:p w14:paraId="3893D456" w14:textId="77777777" w:rsidR="00EF02C5" w:rsidRPr="000F57AA" w:rsidRDefault="00EF02C5" w:rsidP="00EF02C5">
      <w:pPr>
        <w:spacing w:after="0"/>
        <w:ind w:firstLine="708"/>
        <w:rPr>
          <w:rFonts w:ascii="Times New Roman" w:eastAsia="Times New Roman" w:hAnsi="Times New Roman" w:cs="Times New Roman"/>
          <w:lang w:val="ro-RO"/>
        </w:rPr>
      </w:pPr>
    </w:p>
    <w:p w14:paraId="2850A4B7" w14:textId="77777777" w:rsidR="00EF02C5" w:rsidRPr="000F57AA" w:rsidRDefault="00EF02C5" w:rsidP="00EF02C5">
      <w:pPr>
        <w:spacing w:after="0"/>
        <w:ind w:firstLine="708"/>
        <w:rPr>
          <w:rFonts w:ascii="Times New Roman" w:eastAsia="Times New Roman" w:hAnsi="Times New Roman" w:cs="Times New Roman"/>
          <w:lang w:val="ro-RO"/>
        </w:rPr>
      </w:pPr>
    </w:p>
    <w:p w14:paraId="16C862E3" w14:textId="77777777" w:rsidR="00EF02C5" w:rsidRPr="000F57AA" w:rsidRDefault="00EF02C5" w:rsidP="00EF02C5">
      <w:pPr>
        <w:spacing w:after="0"/>
        <w:ind w:firstLine="708"/>
        <w:rPr>
          <w:rFonts w:ascii="Times New Roman" w:eastAsia="Times New Roman" w:hAnsi="Times New Roman" w:cs="Times New Roman"/>
          <w:lang w:val="ro-RO"/>
        </w:rPr>
      </w:pPr>
    </w:p>
    <w:p w14:paraId="5CF99119" w14:textId="77777777" w:rsidR="00EF02C5" w:rsidRPr="000F57AA" w:rsidRDefault="00EF02C5" w:rsidP="00EF02C5">
      <w:pPr>
        <w:spacing w:after="0"/>
        <w:ind w:firstLine="708"/>
        <w:rPr>
          <w:rFonts w:ascii="Times New Roman" w:eastAsia="Times New Roman" w:hAnsi="Times New Roman" w:cs="Times New Roman"/>
          <w:lang w:val="ro-RO"/>
        </w:rPr>
      </w:pPr>
    </w:p>
    <w:p w14:paraId="5A170EBE" w14:textId="77777777" w:rsidR="00EF02C5" w:rsidRPr="000F57AA" w:rsidRDefault="00EF02C5" w:rsidP="00EF02C5">
      <w:pPr>
        <w:spacing w:after="0"/>
        <w:ind w:firstLine="708"/>
        <w:rPr>
          <w:rFonts w:ascii="Times New Roman" w:eastAsia="Times New Roman" w:hAnsi="Times New Roman" w:cs="Times New Roman"/>
          <w:lang w:val="ro-RO"/>
        </w:rPr>
      </w:pPr>
    </w:p>
    <w:p w14:paraId="531106D0" w14:textId="77777777" w:rsidR="00EF02C5" w:rsidRPr="000F57AA" w:rsidRDefault="00EF02C5" w:rsidP="00EF02C5">
      <w:pPr>
        <w:spacing w:after="0"/>
        <w:ind w:firstLine="708"/>
        <w:rPr>
          <w:rFonts w:ascii="Times New Roman" w:eastAsia="Times New Roman" w:hAnsi="Times New Roman" w:cs="Times New Roman"/>
          <w:lang w:val="ro-RO"/>
        </w:rPr>
      </w:pPr>
    </w:p>
    <w:p w14:paraId="479AFCF8" w14:textId="77777777" w:rsidR="00EF02C5" w:rsidRPr="000F57AA" w:rsidRDefault="00EF02C5" w:rsidP="00EF02C5">
      <w:pPr>
        <w:spacing w:after="0"/>
        <w:ind w:firstLine="708"/>
        <w:rPr>
          <w:rFonts w:ascii="Times New Roman" w:eastAsia="Times New Roman" w:hAnsi="Times New Roman" w:cs="Times New Roman"/>
          <w:lang w:val="ro-RO"/>
        </w:rPr>
      </w:pPr>
    </w:p>
    <w:p w14:paraId="1019A60E" w14:textId="77777777" w:rsidR="00EF02C5" w:rsidRPr="000F57AA" w:rsidRDefault="00EF02C5" w:rsidP="00EF02C5">
      <w:pPr>
        <w:spacing w:after="0"/>
        <w:ind w:firstLine="708"/>
        <w:rPr>
          <w:rFonts w:ascii="Times New Roman" w:eastAsia="Times New Roman" w:hAnsi="Times New Roman" w:cs="Times New Roman"/>
          <w:lang w:val="ro-RO"/>
        </w:rPr>
      </w:pPr>
    </w:p>
    <w:p w14:paraId="0DFAA951" w14:textId="77777777" w:rsidR="00EF02C5" w:rsidRPr="000F57AA" w:rsidRDefault="00EF02C5" w:rsidP="00EF02C5">
      <w:pPr>
        <w:spacing w:after="0"/>
        <w:ind w:firstLine="708"/>
        <w:rPr>
          <w:rFonts w:ascii="Times New Roman" w:eastAsia="Times New Roman" w:hAnsi="Times New Roman" w:cs="Times New Roman"/>
          <w:lang w:val="ro-RO"/>
        </w:rPr>
      </w:pPr>
    </w:p>
    <w:p w14:paraId="44C0453E" w14:textId="77777777" w:rsidR="00EF02C5" w:rsidRPr="000F57AA" w:rsidRDefault="00EF02C5" w:rsidP="00EF02C5">
      <w:pPr>
        <w:spacing w:after="0"/>
        <w:ind w:firstLine="708"/>
        <w:rPr>
          <w:rFonts w:ascii="Times New Roman" w:eastAsia="Times New Roman" w:hAnsi="Times New Roman" w:cs="Times New Roman"/>
          <w:lang w:val="ro-RO"/>
        </w:rPr>
      </w:pPr>
    </w:p>
    <w:p w14:paraId="240346DB" w14:textId="77777777" w:rsidR="00EF02C5" w:rsidRPr="000F57AA" w:rsidRDefault="00EF02C5" w:rsidP="00EF02C5">
      <w:pPr>
        <w:spacing w:after="0"/>
        <w:ind w:firstLine="708"/>
        <w:rPr>
          <w:rFonts w:ascii="Times New Roman" w:eastAsia="Times New Roman" w:hAnsi="Times New Roman" w:cs="Times New Roman"/>
          <w:lang w:val="ro-RO"/>
        </w:rPr>
      </w:pPr>
    </w:p>
    <w:p w14:paraId="2B444786" w14:textId="77777777" w:rsidR="00EF02C5" w:rsidRPr="000F57AA" w:rsidRDefault="00EF02C5" w:rsidP="00EF02C5">
      <w:pPr>
        <w:spacing w:after="0"/>
        <w:ind w:firstLine="708"/>
        <w:rPr>
          <w:rFonts w:ascii="Times New Roman" w:eastAsia="Times New Roman" w:hAnsi="Times New Roman" w:cs="Times New Roman"/>
          <w:lang w:val="ro-RO"/>
        </w:rPr>
      </w:pPr>
    </w:p>
    <w:p w14:paraId="3207C549" w14:textId="77777777" w:rsidR="00EF02C5" w:rsidRPr="000F57AA" w:rsidRDefault="00EF02C5" w:rsidP="00EF02C5">
      <w:pPr>
        <w:spacing w:after="0"/>
        <w:ind w:firstLine="708"/>
        <w:rPr>
          <w:rFonts w:ascii="Times New Roman" w:eastAsia="Times New Roman" w:hAnsi="Times New Roman" w:cs="Times New Roman"/>
          <w:lang w:val="ro-RO"/>
        </w:rPr>
      </w:pPr>
    </w:p>
    <w:p w14:paraId="778849A5" w14:textId="77777777" w:rsidR="00EF02C5" w:rsidRPr="000F57AA" w:rsidRDefault="00EF02C5" w:rsidP="00EF02C5">
      <w:pPr>
        <w:spacing w:after="0"/>
        <w:ind w:firstLine="708"/>
        <w:rPr>
          <w:rFonts w:ascii="Times New Roman" w:eastAsia="Times New Roman" w:hAnsi="Times New Roman" w:cs="Times New Roman"/>
          <w:lang w:val="ro-RO"/>
        </w:rPr>
      </w:pPr>
    </w:p>
    <w:p w14:paraId="017432BE" w14:textId="77777777" w:rsidR="00EF02C5" w:rsidRPr="000F57AA" w:rsidRDefault="00EF02C5" w:rsidP="00EF02C5">
      <w:pPr>
        <w:spacing w:after="0"/>
        <w:ind w:firstLine="708"/>
        <w:rPr>
          <w:rFonts w:ascii="Times New Roman" w:eastAsia="Times New Roman" w:hAnsi="Times New Roman" w:cs="Times New Roman"/>
          <w:lang w:val="ro-RO"/>
        </w:rPr>
      </w:pPr>
    </w:p>
    <w:p w14:paraId="50BF5E4D" w14:textId="77777777" w:rsidR="00EF02C5" w:rsidRPr="000F57AA" w:rsidRDefault="00EF02C5" w:rsidP="00EF02C5">
      <w:pPr>
        <w:spacing w:after="0"/>
        <w:ind w:firstLine="708"/>
        <w:rPr>
          <w:rFonts w:ascii="Times New Roman" w:eastAsia="Times New Roman" w:hAnsi="Times New Roman" w:cs="Times New Roman"/>
          <w:lang w:val="ro-RO"/>
        </w:rPr>
      </w:pPr>
    </w:p>
    <w:p w14:paraId="64A5681C" w14:textId="77777777" w:rsidR="00EF02C5" w:rsidRPr="000F57AA" w:rsidRDefault="00EF02C5" w:rsidP="00EF02C5">
      <w:pPr>
        <w:spacing w:after="0"/>
        <w:ind w:firstLine="708"/>
        <w:rPr>
          <w:rFonts w:ascii="Times New Roman" w:eastAsia="Times New Roman" w:hAnsi="Times New Roman" w:cs="Times New Roman"/>
          <w:lang w:val="ro-RO"/>
        </w:rPr>
      </w:pPr>
    </w:p>
    <w:p w14:paraId="3556B59F" w14:textId="77777777" w:rsidR="00EF02C5" w:rsidRPr="000F57AA" w:rsidRDefault="00EF02C5" w:rsidP="00EF02C5">
      <w:pPr>
        <w:spacing w:after="0"/>
        <w:ind w:firstLine="708"/>
        <w:rPr>
          <w:rFonts w:ascii="Times New Roman" w:eastAsia="Times New Roman" w:hAnsi="Times New Roman" w:cs="Times New Roman"/>
          <w:lang w:val="ro-RO"/>
        </w:rPr>
      </w:pPr>
    </w:p>
    <w:p w14:paraId="595E15AB" w14:textId="77777777" w:rsidR="00EF02C5" w:rsidRPr="000F57AA" w:rsidRDefault="00EF02C5" w:rsidP="00EF02C5">
      <w:pPr>
        <w:spacing w:after="0"/>
        <w:ind w:firstLine="708"/>
        <w:rPr>
          <w:rFonts w:ascii="Times New Roman" w:eastAsia="Times New Roman" w:hAnsi="Times New Roman" w:cs="Times New Roman"/>
          <w:lang w:val="ro-RO"/>
        </w:rPr>
      </w:pPr>
    </w:p>
    <w:p w14:paraId="79C61DEF" w14:textId="77777777" w:rsidR="00EF02C5" w:rsidRPr="000F57AA" w:rsidRDefault="00EF02C5" w:rsidP="00EF02C5">
      <w:pPr>
        <w:spacing w:after="0"/>
        <w:ind w:firstLine="708"/>
        <w:rPr>
          <w:rFonts w:ascii="Times New Roman" w:eastAsia="Times New Roman" w:hAnsi="Times New Roman" w:cs="Times New Roman"/>
          <w:lang w:val="ro-RO"/>
        </w:rPr>
      </w:pPr>
    </w:p>
    <w:p w14:paraId="3A617759" w14:textId="77777777" w:rsidR="00EF02C5" w:rsidRPr="000F57AA" w:rsidRDefault="00EF02C5" w:rsidP="00EF02C5">
      <w:pPr>
        <w:spacing w:after="0"/>
        <w:ind w:firstLine="708"/>
        <w:rPr>
          <w:rFonts w:ascii="Times New Roman" w:eastAsia="Times New Roman" w:hAnsi="Times New Roman" w:cs="Times New Roman"/>
          <w:lang w:val="ro-RO"/>
        </w:rPr>
      </w:pPr>
    </w:p>
    <w:p w14:paraId="68DC4264" w14:textId="77777777" w:rsidR="00EF02C5" w:rsidRPr="000F57AA" w:rsidRDefault="00EF02C5" w:rsidP="00EF02C5">
      <w:pPr>
        <w:spacing w:after="0"/>
        <w:ind w:firstLine="708"/>
        <w:rPr>
          <w:rFonts w:ascii="Times New Roman" w:eastAsia="Times New Roman" w:hAnsi="Times New Roman" w:cs="Times New Roman"/>
          <w:lang w:val="ro-RO"/>
        </w:rPr>
      </w:pPr>
    </w:p>
    <w:p w14:paraId="120BE11A" w14:textId="77777777" w:rsidR="00EF02C5" w:rsidRPr="000F57AA" w:rsidRDefault="00EF02C5" w:rsidP="00EF02C5">
      <w:pPr>
        <w:spacing w:after="0"/>
        <w:ind w:firstLine="708"/>
        <w:rPr>
          <w:rFonts w:ascii="Times New Roman" w:eastAsia="Times New Roman" w:hAnsi="Times New Roman" w:cs="Times New Roman"/>
          <w:lang w:val="ro-RO"/>
        </w:rPr>
        <w:sectPr w:rsidR="00EF02C5" w:rsidRPr="000F57AA" w:rsidSect="00EF02C5">
          <w:pgSz w:w="16838" w:h="11906" w:orient="landscape"/>
          <w:pgMar w:top="1701" w:right="1134" w:bottom="851" w:left="1134" w:header="709" w:footer="709" w:gutter="0"/>
          <w:cols w:space="708"/>
          <w:docGrid w:linePitch="360"/>
        </w:sectPr>
      </w:pPr>
    </w:p>
    <w:p w14:paraId="2B59BA4E" w14:textId="77777777" w:rsidR="007D4738" w:rsidRPr="000F57AA" w:rsidRDefault="007D4738" w:rsidP="007D473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lastRenderedPageBreak/>
        <w:t>Modul de completare a raportului</w:t>
      </w:r>
    </w:p>
    <w:p w14:paraId="4F7E02B7" w14:textId="4D9F6E09" w:rsidR="007D4738" w:rsidRPr="000F57AA" w:rsidRDefault="007D4738" w:rsidP="007D473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 4</w:t>
      </w:r>
      <w:r w:rsidR="00606181" w:rsidRPr="000F57AA">
        <w:rPr>
          <w:rFonts w:ascii="Times New Roman" w:eastAsia="Times New Roman" w:hAnsi="Times New Roman" w:cs="Times New Roman"/>
          <w:b/>
          <w:bCs/>
          <w:lang w:val="ro-RO"/>
        </w:rPr>
        <w:t>3</w:t>
      </w:r>
      <w:r w:rsidRPr="000F57AA">
        <w:rPr>
          <w:rFonts w:ascii="Times New Roman" w:eastAsia="Times New Roman" w:hAnsi="Times New Roman" w:cs="Times New Roman"/>
          <w:b/>
          <w:bCs/>
          <w:lang w:val="ro-RO"/>
        </w:rPr>
        <w:t xml:space="preserve">.00 – Defalcarea alternativă a componentelor indicatorului de măsurare a expunerii utilizat pentru calcularea indicatorului efectului de levier (LR4) </w:t>
      </w:r>
    </w:p>
    <w:p w14:paraId="43782051" w14:textId="439A68C0" w:rsidR="00EF02C5" w:rsidRPr="000F57AA" w:rsidRDefault="007D4738" w:rsidP="00EB461B">
      <w:pPr>
        <w:spacing w:after="0"/>
        <w:ind w:firstLine="708"/>
        <w:jc w:val="center"/>
        <w:rPr>
          <w:rFonts w:ascii="Times New Roman" w:eastAsia="Times New Roman" w:hAnsi="Times New Roman" w:cs="Times New Roman"/>
          <w:lang w:val="ro-RO"/>
        </w:rPr>
      </w:pPr>
      <w:r w:rsidRPr="000F57AA">
        <w:rPr>
          <w:rFonts w:ascii="Times New Roman" w:eastAsia="Times New Roman" w:hAnsi="Times New Roman" w:cs="Times New Roman"/>
          <w:b/>
          <w:bCs/>
          <w:lang w:val="ro-RO"/>
        </w:rPr>
        <w:t>Instrucţiuni pentru anumite poziţii</w:t>
      </w:r>
    </w:p>
    <w:p w14:paraId="3378D68E" w14:textId="77777777" w:rsidR="00EF02C5" w:rsidRPr="000F57AA" w:rsidRDefault="00EF02C5" w:rsidP="00EF02C5">
      <w:pPr>
        <w:spacing w:after="0"/>
        <w:ind w:firstLine="708"/>
        <w:rPr>
          <w:rFonts w:ascii="Times New Roman" w:eastAsia="Times New Roman" w:hAnsi="Times New Roman" w:cs="Times New Roman"/>
          <w:lang w:val="ro-RO"/>
        </w:rPr>
      </w:pPr>
    </w:p>
    <w:tbl>
      <w:tblPr>
        <w:tblStyle w:val="TableGrid1"/>
        <w:tblW w:w="9634" w:type="dxa"/>
        <w:tblLayout w:type="fixed"/>
        <w:tblLook w:val="04A0" w:firstRow="1" w:lastRow="0" w:firstColumn="1" w:lastColumn="0" w:noHBand="0" w:noVBand="1"/>
      </w:tblPr>
      <w:tblGrid>
        <w:gridCol w:w="1129"/>
        <w:gridCol w:w="7513"/>
        <w:gridCol w:w="992"/>
      </w:tblGrid>
      <w:tr w:rsidR="003F2B6C" w:rsidRPr="000F57AA" w14:paraId="398434FB" w14:textId="77777777" w:rsidTr="0077559D">
        <w:trPr>
          <w:trHeight w:val="107"/>
        </w:trPr>
        <w:tc>
          <w:tcPr>
            <w:tcW w:w="1129" w:type="dxa"/>
            <w:shd w:val="clear" w:color="auto" w:fill="E7E6E6" w:themeFill="background2"/>
          </w:tcPr>
          <w:p w14:paraId="61AE6A25" w14:textId="77777777" w:rsidR="003F2B6C" w:rsidRPr="000F57AA" w:rsidRDefault="003F2B6C" w:rsidP="00DC56A0">
            <w:pPr>
              <w:ind w:right="90"/>
              <w:rPr>
                <w:sz w:val="22"/>
                <w:szCs w:val="22"/>
                <w:lang w:val="ro-RO" w:eastAsia="ru-RU"/>
                <w14:ligatures w14:val="standardContextual"/>
              </w:rPr>
            </w:pPr>
            <w:bookmarkStart w:id="10" w:name="_Hlk192662947"/>
            <w:r w:rsidRPr="000F57AA">
              <w:rPr>
                <w:sz w:val="22"/>
                <w:szCs w:val="22"/>
                <w:lang w:val="ro-RO" w:eastAsia="ru-RU"/>
                <w14:ligatures w14:val="standardContextual"/>
              </w:rPr>
              <w:t>Rând și coloană</w:t>
            </w:r>
          </w:p>
        </w:tc>
        <w:tc>
          <w:tcPr>
            <w:tcW w:w="8505" w:type="dxa"/>
            <w:gridSpan w:val="2"/>
            <w:shd w:val="clear" w:color="auto" w:fill="E7E6E6" w:themeFill="background2"/>
          </w:tcPr>
          <w:p w14:paraId="7B2AF19E" w14:textId="77777777" w:rsidR="003F2B6C" w:rsidRPr="000F57AA" w:rsidRDefault="003F2B6C" w:rsidP="00DC56A0">
            <w:pPr>
              <w:ind w:right="90"/>
              <w:rPr>
                <w:sz w:val="22"/>
                <w:szCs w:val="22"/>
                <w:lang w:val="ro-RO" w:eastAsia="ru-RU"/>
                <w14:ligatures w14:val="standardContextual"/>
              </w:rPr>
            </w:pPr>
            <w:r w:rsidRPr="000F57AA">
              <w:rPr>
                <w:sz w:val="22"/>
                <w:szCs w:val="22"/>
                <w:lang w:val="ro-RO" w:eastAsia="ru-RU"/>
                <w14:ligatures w14:val="standardContextual"/>
              </w:rPr>
              <w:t>Referinţe juridice și instrucţiuni</w:t>
            </w:r>
          </w:p>
        </w:tc>
      </w:tr>
      <w:tr w:rsidR="003F2B6C" w:rsidRPr="00A05A6A" w14:paraId="67FD03BF" w14:textId="77777777" w:rsidTr="0077559D">
        <w:trPr>
          <w:trHeight w:val="161"/>
        </w:trPr>
        <w:tc>
          <w:tcPr>
            <w:tcW w:w="1129" w:type="dxa"/>
          </w:tcPr>
          <w:p w14:paraId="1FF16152" w14:textId="77777777" w:rsidR="003F2B6C" w:rsidRPr="000F57AA" w:rsidRDefault="003F2B6C" w:rsidP="00DC56A0">
            <w:pPr>
              <w:ind w:right="90"/>
              <w:rPr>
                <w:sz w:val="22"/>
                <w:szCs w:val="22"/>
                <w:lang w:val="ro-RO" w:eastAsia="ru-RU"/>
                <w14:ligatures w14:val="standardContextual"/>
              </w:rPr>
            </w:pPr>
            <w:r w:rsidRPr="000F57AA">
              <w:rPr>
                <w:sz w:val="22"/>
                <w:szCs w:val="22"/>
                <w:lang w:val="ro-RO" w:eastAsia="ru-RU"/>
                <w14:ligatures w14:val="standardContextual"/>
              </w:rPr>
              <w:t>{0010;0010}</w:t>
            </w:r>
          </w:p>
        </w:tc>
        <w:tc>
          <w:tcPr>
            <w:tcW w:w="8505" w:type="dxa"/>
            <w:gridSpan w:val="2"/>
          </w:tcPr>
          <w:p w14:paraId="63C04DFF" w14:textId="77777777" w:rsidR="003F2B6C" w:rsidRPr="000F57AA" w:rsidRDefault="003F2B6C" w:rsidP="003F2B6C">
            <w:pPr>
              <w:ind w:right="90" w:firstLine="530"/>
              <w:rPr>
                <w:b/>
                <w:bCs/>
                <w:sz w:val="22"/>
                <w:szCs w:val="22"/>
                <w:lang w:val="ro-RO" w:eastAsia="ru-RU"/>
                <w14:ligatures w14:val="standardContextual"/>
              </w:rPr>
            </w:pPr>
            <w:r w:rsidRPr="000F57AA">
              <w:rPr>
                <w:b/>
                <w:bCs/>
                <w:sz w:val="22"/>
                <w:szCs w:val="22"/>
                <w:lang w:val="ro-RO" w:eastAsia="ru-RU"/>
                <w14:ligatures w14:val="standardContextual"/>
              </w:rPr>
              <w:t xml:space="preserve">Elemente extrabilanţiere – Valoarea expunerii pentru calcularea indicatorului efectului de levier </w:t>
            </w:r>
          </w:p>
          <w:p w14:paraId="511D3166" w14:textId="637D0EF2" w:rsidR="003F2B6C" w:rsidRPr="000F57AA" w:rsidRDefault="003F2B6C" w:rsidP="003F2B6C">
            <w:pPr>
              <w:ind w:right="90" w:firstLine="456"/>
              <w:rPr>
                <w:sz w:val="22"/>
                <w:szCs w:val="22"/>
                <w:lang w:val="ro-RO" w:eastAsia="ru-RU"/>
                <w14:ligatures w14:val="standardContextual"/>
              </w:rPr>
            </w:pPr>
            <w:r w:rsidRPr="000F57AA">
              <w:rPr>
                <w:sz w:val="22"/>
                <w:szCs w:val="22"/>
                <w:lang w:val="ro-RO" w:eastAsia="ru-RU"/>
                <w14:ligatures w14:val="standardContextual"/>
              </w:rPr>
              <w:t>Valoarea expunerii pentru calcularea indicatorului efectului de levier calculată ca suma celulelor {LRCalc;0150;0010}, {LRCalc;0160;0010}, {LRCalc;0170;0010} și {LRCalc;0180;0010}, mai puţin expunerile intragrup respective (pe bază individuală) excluse în conformitate cu subpct.19.2 din Regulamentul nr.XX/2025.</w:t>
            </w:r>
          </w:p>
        </w:tc>
      </w:tr>
      <w:bookmarkEnd w:id="10"/>
      <w:tr w:rsidR="003F2B6C" w:rsidRPr="00A05A6A" w14:paraId="6FD4E800" w14:textId="77777777" w:rsidTr="0077559D">
        <w:trPr>
          <w:trHeight w:val="161"/>
        </w:trPr>
        <w:tc>
          <w:tcPr>
            <w:tcW w:w="1129" w:type="dxa"/>
          </w:tcPr>
          <w:p w14:paraId="61DCDD0E" w14:textId="67B9FDBE" w:rsidR="003F2B6C" w:rsidRPr="000F57AA" w:rsidRDefault="003F2B6C" w:rsidP="003F2B6C">
            <w:pPr>
              <w:ind w:right="90"/>
              <w:rPr>
                <w:sz w:val="22"/>
                <w:szCs w:val="22"/>
                <w:lang w:val="ro-RO" w:eastAsia="ru-RU"/>
                <w14:ligatures w14:val="standardContextual"/>
              </w:rPr>
            </w:pPr>
            <w:r w:rsidRPr="000F57AA">
              <w:rPr>
                <w:sz w:val="22"/>
                <w:szCs w:val="22"/>
                <w:lang w:val="ro-RO"/>
              </w:rPr>
              <w:t>{0010;0020}</w:t>
            </w:r>
          </w:p>
        </w:tc>
        <w:tc>
          <w:tcPr>
            <w:tcW w:w="8505" w:type="dxa"/>
            <w:gridSpan w:val="2"/>
          </w:tcPr>
          <w:p w14:paraId="65485C14" w14:textId="77777777" w:rsidR="003F2B6C" w:rsidRPr="000F57AA" w:rsidRDefault="003F2B6C" w:rsidP="001C59CA">
            <w:pPr>
              <w:ind w:right="90" w:firstLine="456"/>
              <w:rPr>
                <w:b/>
                <w:bCs/>
                <w:sz w:val="22"/>
                <w:szCs w:val="22"/>
                <w:lang w:val="ro-RO"/>
              </w:rPr>
            </w:pPr>
            <w:r w:rsidRPr="000F57AA">
              <w:rPr>
                <w:b/>
                <w:bCs/>
                <w:sz w:val="22"/>
                <w:szCs w:val="22"/>
                <w:lang w:val="ro-RO"/>
              </w:rPr>
              <w:t xml:space="preserve">Elemente extrabilanţiere – Cuantumul ponderat la risc al expunerilor </w:t>
            </w:r>
          </w:p>
          <w:p w14:paraId="71193A0D" w14:textId="24016759" w:rsidR="003F2B6C" w:rsidRPr="000F57AA" w:rsidRDefault="003F2B6C" w:rsidP="001C59CA">
            <w:pPr>
              <w:ind w:right="90" w:firstLine="456"/>
              <w:rPr>
                <w:b/>
                <w:bCs/>
                <w:sz w:val="22"/>
                <w:szCs w:val="22"/>
                <w:lang w:val="ro-RO" w:eastAsia="ru-RU"/>
                <w14:ligatures w14:val="standardContextual"/>
              </w:rPr>
            </w:pPr>
            <w:r w:rsidRPr="000F57AA">
              <w:rPr>
                <w:sz w:val="22"/>
                <w:szCs w:val="22"/>
                <w:lang w:val="ro-RO"/>
              </w:rPr>
              <w:t xml:space="preserve">Cuantumul ponderat la risc al expunerii elementelor extrabilanţiere – fără SFT-uri și instrumente financiare derivate – conform abordării standardizate. Pentru expunerile din cadrul abordării standardizate, băncile determină cuantumul ponderat la risc al expunerii în conformitate cu Regulamentul nr.111/2018. </w:t>
            </w:r>
          </w:p>
        </w:tc>
      </w:tr>
      <w:tr w:rsidR="003F2B6C" w:rsidRPr="00A05A6A" w14:paraId="4FE7092F" w14:textId="77777777" w:rsidTr="0077559D">
        <w:trPr>
          <w:trHeight w:val="161"/>
        </w:trPr>
        <w:tc>
          <w:tcPr>
            <w:tcW w:w="1129" w:type="dxa"/>
          </w:tcPr>
          <w:p w14:paraId="3CBE2C72" w14:textId="0688415E" w:rsidR="003F2B6C" w:rsidRPr="000F57AA" w:rsidRDefault="003F2B6C" w:rsidP="003F2B6C">
            <w:pPr>
              <w:ind w:right="90"/>
              <w:rPr>
                <w:sz w:val="22"/>
                <w:szCs w:val="22"/>
                <w:lang w:val="ro-RO" w:eastAsia="ru-RU"/>
                <w14:ligatures w14:val="standardContextual"/>
              </w:rPr>
            </w:pPr>
            <w:r w:rsidRPr="000F57AA">
              <w:rPr>
                <w:sz w:val="22"/>
                <w:szCs w:val="22"/>
                <w:lang w:val="ro-RO"/>
              </w:rPr>
              <w:t>{0020;0010}</w:t>
            </w:r>
          </w:p>
        </w:tc>
        <w:tc>
          <w:tcPr>
            <w:tcW w:w="8505" w:type="dxa"/>
            <w:gridSpan w:val="2"/>
          </w:tcPr>
          <w:p w14:paraId="344077B5" w14:textId="77777777" w:rsidR="003F2B6C" w:rsidRPr="000F57AA" w:rsidRDefault="003F2B6C" w:rsidP="001C59CA">
            <w:pPr>
              <w:ind w:right="90" w:firstLine="456"/>
              <w:rPr>
                <w:b/>
                <w:bCs/>
                <w:sz w:val="22"/>
                <w:szCs w:val="22"/>
                <w:lang w:val="ro-RO"/>
              </w:rPr>
            </w:pPr>
            <w:r w:rsidRPr="000F57AA">
              <w:rPr>
                <w:b/>
                <w:bCs/>
                <w:sz w:val="22"/>
                <w:szCs w:val="22"/>
                <w:lang w:val="ro-RO"/>
              </w:rPr>
              <w:t xml:space="preserve">Din care: Finanţarea comerţului – Valoarea expunerii pentru calcularea indicatorului efectului de levier </w:t>
            </w:r>
          </w:p>
          <w:p w14:paraId="66BBDBAA" w14:textId="283D3C50" w:rsidR="003F2B6C" w:rsidRPr="000F57AA" w:rsidRDefault="003F2B6C" w:rsidP="001C59CA">
            <w:pPr>
              <w:ind w:right="90" w:firstLine="456"/>
              <w:rPr>
                <w:b/>
                <w:bCs/>
                <w:sz w:val="22"/>
                <w:szCs w:val="22"/>
                <w:lang w:val="ro-RO" w:eastAsia="ru-RU"/>
                <w14:ligatures w14:val="standardContextual"/>
              </w:rPr>
            </w:pPr>
            <w:r w:rsidRPr="000F57AA">
              <w:rPr>
                <w:sz w:val="22"/>
                <w:szCs w:val="22"/>
                <w:lang w:val="ro-RO"/>
              </w:rPr>
              <w:t>Valoarea expunerii pentru calcularea indicatorului efectului de levier al elementelor extrabilanţiere legate de finanţarea comerţului. Pentru completarea formularului LR4, elementele extrabilanţiere legate de finanţarea comerţului se referă la scrisorile de credit pentru importuri și exporturi, emise și confirmate, pe termen scurt și cu autolichidare, și la tranzacţii similare.</w:t>
            </w:r>
          </w:p>
        </w:tc>
      </w:tr>
      <w:tr w:rsidR="003F2B6C" w:rsidRPr="00A05A6A" w14:paraId="0AB3AB49" w14:textId="77777777" w:rsidTr="0077559D">
        <w:trPr>
          <w:trHeight w:val="161"/>
        </w:trPr>
        <w:tc>
          <w:tcPr>
            <w:tcW w:w="1129" w:type="dxa"/>
          </w:tcPr>
          <w:p w14:paraId="1C62748E" w14:textId="3C6FF15F" w:rsidR="003F2B6C" w:rsidRPr="000F57AA" w:rsidRDefault="003F2B6C" w:rsidP="003F2B6C">
            <w:pPr>
              <w:ind w:right="90"/>
              <w:rPr>
                <w:sz w:val="22"/>
                <w:szCs w:val="22"/>
                <w:lang w:val="ro-RO" w:eastAsia="ru-RU"/>
                <w14:ligatures w14:val="standardContextual"/>
              </w:rPr>
            </w:pPr>
            <w:r w:rsidRPr="000F57AA">
              <w:rPr>
                <w:sz w:val="22"/>
                <w:szCs w:val="22"/>
                <w:lang w:val="ro-RO"/>
              </w:rPr>
              <w:t>{0020;0020}</w:t>
            </w:r>
          </w:p>
        </w:tc>
        <w:tc>
          <w:tcPr>
            <w:tcW w:w="8505" w:type="dxa"/>
            <w:gridSpan w:val="2"/>
          </w:tcPr>
          <w:p w14:paraId="680A3E85" w14:textId="77777777" w:rsidR="000F57AA" w:rsidRDefault="003F2B6C" w:rsidP="001C59CA">
            <w:pPr>
              <w:ind w:right="90" w:firstLine="456"/>
              <w:rPr>
                <w:b/>
                <w:bCs/>
                <w:sz w:val="22"/>
                <w:szCs w:val="22"/>
                <w:lang w:val="ro-RO"/>
              </w:rPr>
            </w:pPr>
            <w:r w:rsidRPr="000F57AA">
              <w:rPr>
                <w:b/>
                <w:bCs/>
                <w:sz w:val="22"/>
                <w:szCs w:val="22"/>
                <w:lang w:val="ro-RO"/>
              </w:rPr>
              <w:t>Din care: Finanţarea comerţului – Cuantumul ponderat la risc al expunerilor</w:t>
            </w:r>
          </w:p>
          <w:p w14:paraId="2D8BA659" w14:textId="1C686C02" w:rsidR="003F2B6C" w:rsidRPr="000F57AA" w:rsidRDefault="003F2B6C" w:rsidP="001C59CA">
            <w:pPr>
              <w:ind w:right="90" w:firstLine="456"/>
              <w:rPr>
                <w:sz w:val="22"/>
                <w:szCs w:val="22"/>
                <w:lang w:val="ro-RO"/>
              </w:rPr>
            </w:pPr>
            <w:r w:rsidRPr="000F57AA">
              <w:rPr>
                <w:sz w:val="22"/>
                <w:szCs w:val="22"/>
                <w:lang w:val="ro-RO"/>
              </w:rPr>
              <w:t xml:space="preserve">Valoarea ponderată la risc a expunerii elementelor extrabilanţiere – fără SFT-uri și instrumente financiare derivate – care se referă la finanţarea comerţului. </w:t>
            </w:r>
          </w:p>
          <w:p w14:paraId="081E3A6A" w14:textId="61798031" w:rsidR="003F2B6C" w:rsidRPr="000F57AA" w:rsidRDefault="003F2B6C" w:rsidP="001C59CA">
            <w:pPr>
              <w:ind w:right="90" w:firstLine="456"/>
              <w:rPr>
                <w:b/>
                <w:bCs/>
                <w:sz w:val="22"/>
                <w:szCs w:val="22"/>
                <w:lang w:val="ro-RO" w:eastAsia="ru-RU"/>
                <w14:ligatures w14:val="standardContextual"/>
              </w:rPr>
            </w:pPr>
            <w:r w:rsidRPr="000F57AA">
              <w:rPr>
                <w:sz w:val="22"/>
                <w:szCs w:val="22"/>
                <w:lang w:val="ro-RO"/>
              </w:rPr>
              <w:t>Pentru completarea formularului LR4, elementele extrabilanţiere legate de finanţarea comerţului se referă la scrisorile de credit pentru importuri și exporturi, emise și confirmate, pe termen scurt și cu autolichidare, și la tranzacţii similare.</w:t>
            </w:r>
          </w:p>
        </w:tc>
      </w:tr>
      <w:tr w:rsidR="00A75BB4" w:rsidRPr="00A05A6A" w14:paraId="4950AFA6" w14:textId="77777777" w:rsidTr="00911E31">
        <w:trPr>
          <w:trHeight w:val="161"/>
        </w:trPr>
        <w:tc>
          <w:tcPr>
            <w:tcW w:w="1129" w:type="dxa"/>
          </w:tcPr>
          <w:p w14:paraId="248F1636" w14:textId="270CB554" w:rsidR="00A75BB4" w:rsidRPr="000F57AA" w:rsidRDefault="00A75BB4" w:rsidP="00B923A6">
            <w:pPr>
              <w:ind w:right="90"/>
              <w:rPr>
                <w:sz w:val="22"/>
                <w:szCs w:val="22"/>
                <w:lang w:val="ro-RO" w:eastAsia="ru-RU"/>
                <w14:ligatures w14:val="standardContextual"/>
              </w:rPr>
            </w:pPr>
            <w:r w:rsidRPr="000F57AA">
              <w:rPr>
                <w:sz w:val="22"/>
                <w:szCs w:val="22"/>
                <w:lang w:val="ro-RO"/>
              </w:rPr>
              <w:t>{0030;0010}</w:t>
            </w:r>
          </w:p>
        </w:tc>
        <w:tc>
          <w:tcPr>
            <w:tcW w:w="8505" w:type="dxa"/>
            <w:gridSpan w:val="2"/>
          </w:tcPr>
          <w:p w14:paraId="42913FFA" w14:textId="53AD00CF" w:rsidR="00A75BB4" w:rsidRPr="000F57AA" w:rsidRDefault="00A75BB4" w:rsidP="000F57AA">
            <w:pPr>
              <w:ind w:right="90" w:firstLine="456"/>
              <w:rPr>
                <w:sz w:val="22"/>
                <w:szCs w:val="22"/>
                <w:lang w:val="ro-RO" w:eastAsia="ru-RU"/>
                <w14:ligatures w14:val="standardContextual"/>
              </w:rPr>
            </w:pPr>
            <w:r w:rsidRPr="000F57AA">
              <w:rPr>
                <w:b/>
                <w:bCs/>
                <w:sz w:val="22"/>
                <w:szCs w:val="22"/>
                <w:lang w:val="ro-RO"/>
              </w:rPr>
              <w:t xml:space="preserve">Din care: În cadrul schemei oficiale de asigurare a creditelor de export – Valoarea expunerii pentru calcularea indicatorului efectului de levier </w:t>
            </w:r>
          </w:p>
          <w:p w14:paraId="3EDF55A1" w14:textId="2FD83F9B" w:rsidR="00A75BB4" w:rsidRPr="000F57AA" w:rsidRDefault="00A75BB4" w:rsidP="00A75BB4">
            <w:pPr>
              <w:ind w:right="90"/>
              <w:rPr>
                <w:sz w:val="22"/>
                <w:szCs w:val="22"/>
                <w:lang w:val="ro-RO" w:eastAsia="ru-RU"/>
                <w14:ligatures w14:val="standardContextual"/>
              </w:rPr>
            </w:pPr>
            <w:r w:rsidRPr="000F57AA">
              <w:rPr>
                <w:sz w:val="22"/>
                <w:szCs w:val="22"/>
                <w:lang w:val="ro-RO" w:eastAsia="ru-RU"/>
                <w14:ligatures w14:val="standardContextual"/>
              </w:rPr>
              <w:t xml:space="preserve">        Valoarea expunerii pentru calcularea indicatorului efectului de levier al elementelor extrabilanţiere legate de finanţarea comerţului în cadrul unei scheme oficiale de asigurare a creditelor de export. </w:t>
            </w:r>
          </w:p>
          <w:p w14:paraId="2053C8F2" w14:textId="3329E3D6" w:rsidR="00A75BB4" w:rsidRPr="000F57AA" w:rsidRDefault="00A75BB4" w:rsidP="00A75BB4">
            <w:pPr>
              <w:ind w:right="90"/>
              <w:rPr>
                <w:sz w:val="22"/>
                <w:szCs w:val="22"/>
                <w:lang w:val="ro-RO" w:eastAsia="ru-RU"/>
                <w14:ligatures w14:val="standardContextual"/>
              </w:rPr>
            </w:pPr>
            <w:r w:rsidRPr="000F57AA">
              <w:rPr>
                <w:sz w:val="22"/>
                <w:szCs w:val="22"/>
                <w:lang w:val="ro-RO" w:eastAsia="ru-RU"/>
                <w14:ligatures w14:val="standardContextual"/>
              </w:rPr>
              <w:t xml:space="preserve">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r w:rsidR="00A75BB4" w:rsidRPr="00A05A6A" w14:paraId="24EBB58A" w14:textId="77777777" w:rsidTr="007B7BE6">
        <w:trPr>
          <w:trHeight w:val="161"/>
        </w:trPr>
        <w:tc>
          <w:tcPr>
            <w:tcW w:w="1129" w:type="dxa"/>
          </w:tcPr>
          <w:p w14:paraId="1F257A1E" w14:textId="0AA1C8BC" w:rsidR="00A75BB4" w:rsidRPr="000F57AA" w:rsidRDefault="00A75BB4" w:rsidP="00B923A6">
            <w:pPr>
              <w:ind w:right="90"/>
              <w:rPr>
                <w:sz w:val="22"/>
                <w:szCs w:val="22"/>
                <w:lang w:val="ro-RO" w:eastAsia="ru-RU"/>
                <w14:ligatures w14:val="standardContextual"/>
              </w:rPr>
            </w:pPr>
            <w:r w:rsidRPr="000F57AA">
              <w:rPr>
                <w:sz w:val="22"/>
                <w:szCs w:val="22"/>
                <w:lang w:val="ro-RO"/>
              </w:rPr>
              <w:t>{0030;0020}</w:t>
            </w:r>
          </w:p>
        </w:tc>
        <w:tc>
          <w:tcPr>
            <w:tcW w:w="8505" w:type="dxa"/>
            <w:gridSpan w:val="2"/>
          </w:tcPr>
          <w:p w14:paraId="1C9A285B" w14:textId="6D0457D9" w:rsidR="00A75BB4" w:rsidRPr="000F57AA" w:rsidRDefault="00A75BB4" w:rsidP="000F57AA">
            <w:pPr>
              <w:ind w:right="90" w:firstLine="456"/>
              <w:rPr>
                <w:sz w:val="22"/>
                <w:szCs w:val="22"/>
                <w:lang w:val="ro-RO" w:eastAsia="ru-RU"/>
                <w14:ligatures w14:val="standardContextual"/>
              </w:rPr>
            </w:pPr>
            <w:r w:rsidRPr="000F57AA">
              <w:rPr>
                <w:b/>
                <w:bCs/>
                <w:sz w:val="22"/>
                <w:szCs w:val="22"/>
                <w:lang w:val="ro-RO"/>
              </w:rPr>
              <w:t xml:space="preserve">Din care: În cadrul schemei oficiale de asigurare a creditelor de export – Cuantumul ponderat la risc al expunerilor </w:t>
            </w:r>
          </w:p>
          <w:p w14:paraId="259830F4" w14:textId="20AC38ED" w:rsidR="00A75BB4" w:rsidRPr="000F57AA" w:rsidRDefault="00A75BB4" w:rsidP="00B923A6">
            <w:pPr>
              <w:ind w:right="90"/>
              <w:rPr>
                <w:sz w:val="22"/>
                <w:szCs w:val="22"/>
                <w:lang w:val="ro-RO" w:eastAsia="ru-RU"/>
                <w14:ligatures w14:val="standardContextual"/>
              </w:rPr>
            </w:pPr>
            <w:r w:rsidRPr="000F57AA">
              <w:rPr>
                <w:sz w:val="22"/>
                <w:szCs w:val="22"/>
                <w:lang w:val="ro-RO" w:eastAsia="ru-RU"/>
                <w14:ligatures w14:val="standardContextual"/>
              </w:rPr>
              <w:t xml:space="preserve">        Valoarea ponderată la risc a expunerii elementelor extrabilanţiere – fără SFT-uri și instrumente financiare derivate – legate de finanţarea comerţului în cadrul unei scheme oficiale de asigurare a creditelor de export. </w:t>
            </w:r>
          </w:p>
          <w:p w14:paraId="7BCA8F63" w14:textId="0A458901" w:rsidR="00A75BB4" w:rsidRPr="000F57AA" w:rsidRDefault="00A75BB4" w:rsidP="00B923A6">
            <w:pPr>
              <w:ind w:right="90"/>
              <w:rPr>
                <w:sz w:val="22"/>
                <w:szCs w:val="22"/>
                <w:lang w:val="ro-RO" w:eastAsia="ru-RU"/>
                <w14:ligatures w14:val="standardContextual"/>
              </w:rPr>
            </w:pPr>
            <w:r w:rsidRPr="000F57AA">
              <w:rPr>
                <w:sz w:val="22"/>
                <w:szCs w:val="22"/>
                <w:lang w:val="ro-RO" w:eastAsia="ru-RU"/>
                <w14:ligatures w14:val="standardContextual"/>
              </w:rPr>
              <w:t xml:space="preserve">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w:t>
            </w:r>
          </w:p>
        </w:tc>
      </w:tr>
      <w:tr w:rsidR="00B923A6" w:rsidRPr="00A05A6A" w14:paraId="3C86632B" w14:textId="77777777" w:rsidTr="0077559D">
        <w:trPr>
          <w:trHeight w:val="161"/>
        </w:trPr>
        <w:tc>
          <w:tcPr>
            <w:tcW w:w="1129" w:type="dxa"/>
          </w:tcPr>
          <w:p w14:paraId="37C7512D" w14:textId="44CFEA0B" w:rsidR="00B923A6" w:rsidRPr="000F57AA" w:rsidRDefault="00B923A6" w:rsidP="00B923A6">
            <w:pPr>
              <w:ind w:right="90"/>
              <w:rPr>
                <w:sz w:val="22"/>
                <w:szCs w:val="22"/>
                <w:lang w:val="ro-RO" w:eastAsia="ru-RU"/>
                <w14:ligatures w14:val="standardContextual"/>
              </w:rPr>
            </w:pPr>
            <w:r w:rsidRPr="000F57AA">
              <w:rPr>
                <w:sz w:val="22"/>
                <w:szCs w:val="22"/>
                <w:lang w:val="ro-RO"/>
              </w:rPr>
              <w:t>{0040;0010}</w:t>
            </w:r>
          </w:p>
        </w:tc>
        <w:tc>
          <w:tcPr>
            <w:tcW w:w="8505" w:type="dxa"/>
            <w:gridSpan w:val="2"/>
          </w:tcPr>
          <w:p w14:paraId="7752928B" w14:textId="77777777" w:rsidR="00B923A6" w:rsidRPr="000F57AA" w:rsidRDefault="00B923A6" w:rsidP="001C59CA">
            <w:pPr>
              <w:ind w:right="90" w:firstLine="456"/>
              <w:rPr>
                <w:b/>
                <w:bCs/>
                <w:sz w:val="22"/>
                <w:szCs w:val="22"/>
                <w:lang w:val="ro-RO"/>
              </w:rPr>
            </w:pPr>
            <w:r w:rsidRPr="000F57AA">
              <w:rPr>
                <w:b/>
                <w:bCs/>
                <w:sz w:val="22"/>
                <w:szCs w:val="22"/>
                <w:lang w:val="ro-RO"/>
              </w:rPr>
              <w:t xml:space="preserve">Instrumente financiare derivate și SFT-uri care fac obiectul unui acord de compensare între produse diferite – Valoarea expunerii pentru calcularea indicatorului efectului de levier </w:t>
            </w:r>
          </w:p>
          <w:p w14:paraId="74820F00" w14:textId="5E85FFF0"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lastRenderedPageBreak/>
              <w:t xml:space="preserve">Valoarea expunerii pentru calcularea indicatorului efectului de levier al instrumentelor financiare derivate și al SFT-urilor, în cazul în care acestea fac obiectul unui acord de compensare între produse diferite, astfel cum este definit la pct.3 din Regulamentul </w:t>
            </w:r>
            <w:r w:rsidR="001F75F9" w:rsidRPr="000F57AA">
              <w:rPr>
                <w:sz w:val="22"/>
                <w:szCs w:val="22"/>
                <w:lang w:val="ro-RO"/>
              </w:rPr>
              <w:t>nr.YY/2025</w:t>
            </w:r>
            <w:r w:rsidRPr="000F57AA">
              <w:rPr>
                <w:sz w:val="22"/>
                <w:szCs w:val="22"/>
                <w:lang w:val="ro-RO"/>
              </w:rPr>
              <w:t>.</w:t>
            </w:r>
          </w:p>
        </w:tc>
      </w:tr>
      <w:tr w:rsidR="00B923A6" w:rsidRPr="00A05A6A" w14:paraId="42923F5E" w14:textId="77777777" w:rsidTr="0077559D">
        <w:trPr>
          <w:trHeight w:val="161"/>
        </w:trPr>
        <w:tc>
          <w:tcPr>
            <w:tcW w:w="1129" w:type="dxa"/>
          </w:tcPr>
          <w:p w14:paraId="2A45583E" w14:textId="6C451D42" w:rsidR="00B923A6" w:rsidRPr="000F57AA" w:rsidRDefault="00B923A6" w:rsidP="00B923A6">
            <w:pPr>
              <w:ind w:right="90"/>
              <w:rPr>
                <w:sz w:val="22"/>
                <w:szCs w:val="22"/>
                <w:lang w:val="ro-RO" w:eastAsia="ru-RU"/>
                <w14:ligatures w14:val="standardContextual"/>
              </w:rPr>
            </w:pPr>
            <w:r w:rsidRPr="000F57AA">
              <w:rPr>
                <w:sz w:val="22"/>
                <w:szCs w:val="22"/>
                <w:lang w:val="ro-RO"/>
              </w:rPr>
              <w:lastRenderedPageBreak/>
              <w:t>{0040;0020}</w:t>
            </w:r>
          </w:p>
        </w:tc>
        <w:tc>
          <w:tcPr>
            <w:tcW w:w="8505" w:type="dxa"/>
            <w:gridSpan w:val="2"/>
          </w:tcPr>
          <w:p w14:paraId="32807114" w14:textId="77777777" w:rsidR="00B923A6" w:rsidRPr="000F57AA" w:rsidRDefault="00B923A6" w:rsidP="001C59CA">
            <w:pPr>
              <w:ind w:right="90" w:firstLine="456"/>
              <w:rPr>
                <w:b/>
                <w:bCs/>
                <w:sz w:val="22"/>
                <w:szCs w:val="22"/>
                <w:lang w:val="ro-RO"/>
              </w:rPr>
            </w:pPr>
            <w:r w:rsidRPr="000F57AA">
              <w:rPr>
                <w:b/>
                <w:bCs/>
                <w:sz w:val="22"/>
                <w:szCs w:val="22"/>
                <w:lang w:val="ro-RO"/>
              </w:rPr>
              <w:t xml:space="preserve">Instrumente financiare derivate și SFT-uri care fac obiectul unui acord de compensare între produse diferite – Cuantumul ponderat la risc al expunerilor </w:t>
            </w:r>
          </w:p>
          <w:p w14:paraId="4157061C" w14:textId="6CC26A18"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Cuantumurile ponderate la risc ale expunerilor în ceea ce privește riscul de credit și riscul de contraparte, astfel cum sunt calculate în temeiul Regulamentului nr.111/2018 și Regulamentului</w:t>
            </w:r>
            <w:r w:rsidR="008005DC" w:rsidRPr="000F57AA">
              <w:rPr>
                <w:sz w:val="22"/>
                <w:szCs w:val="22"/>
                <w:lang w:val="ro-RO"/>
              </w:rPr>
              <w:t xml:space="preserve"> </w:t>
            </w:r>
            <w:r w:rsidR="0026553F" w:rsidRPr="000F57AA">
              <w:rPr>
                <w:sz w:val="22"/>
                <w:szCs w:val="22"/>
                <w:lang w:val="ro-RO"/>
              </w:rPr>
              <w:t>nr.YY/2025</w:t>
            </w:r>
            <w:r w:rsidRPr="000F57AA">
              <w:rPr>
                <w:sz w:val="22"/>
                <w:szCs w:val="22"/>
                <w:lang w:val="ro-RO"/>
              </w:rPr>
              <w:t xml:space="preserve">, pentru instrumente financiare derivate și SFT-uri, inclusiv extrabilanţiere, în cazul în care aceste tranzacţii fac obiectul unui acord de compensare între produse diferite, astfel cum este definit la pct.3 din Regulamentul </w:t>
            </w:r>
            <w:r w:rsidR="001F75F9" w:rsidRPr="000F57AA">
              <w:rPr>
                <w:sz w:val="22"/>
                <w:szCs w:val="22"/>
                <w:lang w:val="ro-RO"/>
              </w:rPr>
              <w:t>nr.YY/2025.</w:t>
            </w:r>
          </w:p>
        </w:tc>
      </w:tr>
      <w:tr w:rsidR="00B923A6" w:rsidRPr="00A05A6A" w14:paraId="4C18F178" w14:textId="77777777" w:rsidTr="0077559D">
        <w:trPr>
          <w:trHeight w:val="161"/>
        </w:trPr>
        <w:tc>
          <w:tcPr>
            <w:tcW w:w="1129" w:type="dxa"/>
          </w:tcPr>
          <w:p w14:paraId="1C7F59BA" w14:textId="2B18A20A" w:rsidR="00B923A6" w:rsidRPr="000F57AA" w:rsidRDefault="00B923A6" w:rsidP="00B923A6">
            <w:pPr>
              <w:ind w:right="90"/>
              <w:rPr>
                <w:sz w:val="22"/>
                <w:szCs w:val="22"/>
                <w:lang w:val="ro-RO" w:eastAsia="ru-RU"/>
                <w14:ligatures w14:val="standardContextual"/>
              </w:rPr>
            </w:pPr>
            <w:r w:rsidRPr="000F57AA">
              <w:rPr>
                <w:sz w:val="22"/>
                <w:szCs w:val="22"/>
                <w:lang w:val="ro-RO"/>
              </w:rPr>
              <w:t>{0050;0010}</w:t>
            </w:r>
          </w:p>
        </w:tc>
        <w:tc>
          <w:tcPr>
            <w:tcW w:w="8505" w:type="dxa"/>
            <w:gridSpan w:val="2"/>
          </w:tcPr>
          <w:p w14:paraId="6B0D2BC0" w14:textId="77777777" w:rsidR="00B923A6" w:rsidRPr="000F57AA" w:rsidRDefault="00B923A6" w:rsidP="001C59CA">
            <w:pPr>
              <w:ind w:right="90" w:firstLine="456"/>
              <w:rPr>
                <w:b/>
                <w:bCs/>
                <w:sz w:val="22"/>
                <w:szCs w:val="22"/>
                <w:lang w:val="ro-RO"/>
              </w:rPr>
            </w:pPr>
            <w:r w:rsidRPr="000F57AA">
              <w:rPr>
                <w:b/>
                <w:bCs/>
                <w:sz w:val="22"/>
                <w:szCs w:val="22"/>
                <w:lang w:val="ro-RO"/>
              </w:rPr>
              <w:t xml:space="preserve">Instrumente financiare derivate care nu fac obiectul unui acord de compensare între produse diferite – Valoarea expunerii pentru calcularea indicatorului efectului de levier </w:t>
            </w:r>
          </w:p>
          <w:p w14:paraId="5CA1F3F5" w14:textId="2D1D68EC"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 xml:space="preserve">Valoarea expunerii pentru calcularea indicatorului efectului de levier al instrumentelor financiare derivate, în cazul în care acestea nu fac obiectul unui acord de compensare între produse diferite, astfel cum este definit la pct.3 din Regulamentul </w:t>
            </w:r>
            <w:r w:rsidR="001F75F9" w:rsidRPr="000F57AA">
              <w:rPr>
                <w:sz w:val="22"/>
                <w:szCs w:val="22"/>
                <w:lang w:val="ro-RO"/>
              </w:rPr>
              <w:t>nr.YY/2025</w:t>
            </w:r>
            <w:r w:rsidRPr="000F57AA">
              <w:rPr>
                <w:sz w:val="22"/>
                <w:szCs w:val="22"/>
                <w:lang w:val="ro-RO"/>
              </w:rPr>
              <w:t>.</w:t>
            </w:r>
          </w:p>
        </w:tc>
      </w:tr>
      <w:tr w:rsidR="00B923A6" w:rsidRPr="00A05A6A" w14:paraId="2A776DB4" w14:textId="77777777" w:rsidTr="0077559D">
        <w:trPr>
          <w:trHeight w:val="161"/>
        </w:trPr>
        <w:tc>
          <w:tcPr>
            <w:tcW w:w="1129" w:type="dxa"/>
          </w:tcPr>
          <w:p w14:paraId="06D5E336" w14:textId="2B90D136" w:rsidR="00B923A6" w:rsidRPr="000F57AA" w:rsidRDefault="00B923A6" w:rsidP="00B923A6">
            <w:pPr>
              <w:ind w:right="90"/>
              <w:rPr>
                <w:sz w:val="22"/>
                <w:szCs w:val="22"/>
                <w:lang w:val="ro-RO" w:eastAsia="ru-RU"/>
                <w14:ligatures w14:val="standardContextual"/>
              </w:rPr>
            </w:pPr>
            <w:r w:rsidRPr="000F57AA">
              <w:rPr>
                <w:sz w:val="22"/>
                <w:szCs w:val="22"/>
                <w:lang w:val="ro-RO"/>
              </w:rPr>
              <w:t>{0050;0020}</w:t>
            </w:r>
          </w:p>
        </w:tc>
        <w:tc>
          <w:tcPr>
            <w:tcW w:w="8505" w:type="dxa"/>
            <w:gridSpan w:val="2"/>
          </w:tcPr>
          <w:p w14:paraId="6DB6C846" w14:textId="77777777" w:rsidR="00B923A6" w:rsidRPr="000F57AA" w:rsidRDefault="00B923A6" w:rsidP="001C59CA">
            <w:pPr>
              <w:ind w:right="90" w:firstLine="456"/>
              <w:rPr>
                <w:b/>
                <w:bCs/>
                <w:sz w:val="22"/>
                <w:szCs w:val="22"/>
                <w:lang w:val="ro-RO"/>
              </w:rPr>
            </w:pPr>
            <w:r w:rsidRPr="000F57AA">
              <w:rPr>
                <w:b/>
                <w:bCs/>
                <w:sz w:val="22"/>
                <w:szCs w:val="22"/>
                <w:lang w:val="ro-RO"/>
              </w:rPr>
              <w:t xml:space="preserve">Instrumente financiare derivate care nu fac obiectul unui acord de compensare între produse diferite – Cuantumul ponderat la risc al expunerilor </w:t>
            </w:r>
          </w:p>
          <w:p w14:paraId="567A3CB2" w14:textId="2E6AC7D9"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 xml:space="preserve">Cuantumurile ponderate la risc ale expunerilor în ceea ce privește riscul de credit și riscul de contraparte pentru instrumente financiare derivate, astfel cum sunt calculate în temeiul Regulamentului nr.111/2018 și Regulamentului </w:t>
            </w:r>
            <w:r w:rsidR="00A72ED0" w:rsidRPr="000F57AA">
              <w:rPr>
                <w:sz w:val="22"/>
                <w:szCs w:val="22"/>
                <w:lang w:val="ro-RO"/>
              </w:rPr>
              <w:t>nr.YY/2025</w:t>
            </w:r>
            <w:r w:rsidRPr="000F57AA">
              <w:rPr>
                <w:sz w:val="22"/>
                <w:szCs w:val="22"/>
                <w:lang w:val="ro-RO"/>
              </w:rPr>
              <w:t xml:space="preserve">, inclusiv extrabilanţiere, în cazul în care aceste tranzacţii nu fac obiectul unui acord de compensare între produse diferite, astfel cum este definit la pct.3 din Regulamentul </w:t>
            </w:r>
            <w:r w:rsidR="00A72ED0" w:rsidRPr="000F57AA">
              <w:rPr>
                <w:sz w:val="22"/>
                <w:szCs w:val="22"/>
                <w:lang w:val="ro-RO"/>
              </w:rPr>
              <w:t>nr.YY/2025</w:t>
            </w:r>
            <w:r w:rsidRPr="000F57AA">
              <w:rPr>
                <w:sz w:val="22"/>
                <w:szCs w:val="22"/>
                <w:lang w:val="ro-RO"/>
              </w:rPr>
              <w:t>.</w:t>
            </w:r>
          </w:p>
        </w:tc>
      </w:tr>
      <w:tr w:rsidR="00B923A6" w:rsidRPr="00A05A6A" w14:paraId="69A2C9B5" w14:textId="77777777" w:rsidTr="0077559D">
        <w:trPr>
          <w:trHeight w:val="161"/>
        </w:trPr>
        <w:tc>
          <w:tcPr>
            <w:tcW w:w="1129" w:type="dxa"/>
          </w:tcPr>
          <w:p w14:paraId="57BE8539" w14:textId="09381611" w:rsidR="00B923A6" w:rsidRPr="000F57AA" w:rsidRDefault="00B923A6" w:rsidP="00B923A6">
            <w:pPr>
              <w:ind w:right="90"/>
              <w:rPr>
                <w:sz w:val="22"/>
                <w:szCs w:val="22"/>
                <w:lang w:val="ro-RO" w:eastAsia="ru-RU"/>
                <w14:ligatures w14:val="standardContextual"/>
              </w:rPr>
            </w:pPr>
            <w:r w:rsidRPr="000F57AA">
              <w:rPr>
                <w:sz w:val="22"/>
                <w:szCs w:val="22"/>
                <w:lang w:val="ro-RO"/>
              </w:rPr>
              <w:t>{0060;0010}</w:t>
            </w:r>
          </w:p>
        </w:tc>
        <w:tc>
          <w:tcPr>
            <w:tcW w:w="8505" w:type="dxa"/>
            <w:gridSpan w:val="2"/>
          </w:tcPr>
          <w:p w14:paraId="47B33A5B" w14:textId="77777777" w:rsidR="00B923A6" w:rsidRPr="000F57AA" w:rsidRDefault="00B923A6" w:rsidP="001C59CA">
            <w:pPr>
              <w:ind w:right="90" w:firstLine="456"/>
              <w:rPr>
                <w:b/>
                <w:bCs/>
                <w:sz w:val="22"/>
                <w:szCs w:val="22"/>
                <w:lang w:val="ro-RO"/>
              </w:rPr>
            </w:pPr>
            <w:r w:rsidRPr="000F57AA">
              <w:rPr>
                <w:b/>
                <w:bCs/>
                <w:sz w:val="22"/>
                <w:szCs w:val="22"/>
                <w:lang w:val="ro-RO"/>
              </w:rPr>
              <w:t xml:space="preserve">SFT-uri care nu fac obiectul unui acord de compensare între produse diferite – Valoarea expunerii pentru calcularea indicatorului efectului de levier </w:t>
            </w:r>
          </w:p>
          <w:p w14:paraId="4309CA4D" w14:textId="26FC8C3E"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 xml:space="preserve">Valoarea expunerii pentru calcularea indicatorului efectului de levier al expunerilor aferente SFT-urilor, în cazul în care acestea nu fac obiectul unui acord de compensare între produse diferite, astfel cum este definit la pct.3 din Regulamentul </w:t>
            </w:r>
            <w:r w:rsidR="00A72ED0" w:rsidRPr="000F57AA">
              <w:rPr>
                <w:sz w:val="22"/>
                <w:szCs w:val="22"/>
                <w:lang w:val="ro-RO"/>
              </w:rPr>
              <w:t>nr.YY/2025</w:t>
            </w:r>
            <w:r w:rsidRPr="000F57AA">
              <w:rPr>
                <w:sz w:val="22"/>
                <w:szCs w:val="22"/>
                <w:lang w:val="ro-RO"/>
              </w:rPr>
              <w:t>.</w:t>
            </w:r>
          </w:p>
        </w:tc>
      </w:tr>
      <w:tr w:rsidR="00B923A6" w:rsidRPr="00A05A6A" w14:paraId="109E6B90" w14:textId="77777777" w:rsidTr="0077559D">
        <w:trPr>
          <w:trHeight w:val="161"/>
        </w:trPr>
        <w:tc>
          <w:tcPr>
            <w:tcW w:w="1129" w:type="dxa"/>
          </w:tcPr>
          <w:p w14:paraId="478763EA" w14:textId="0824A4C9" w:rsidR="00B923A6" w:rsidRPr="000F57AA" w:rsidRDefault="00B923A6" w:rsidP="00B923A6">
            <w:pPr>
              <w:ind w:right="90"/>
              <w:rPr>
                <w:sz w:val="22"/>
                <w:szCs w:val="22"/>
                <w:lang w:val="ro-RO" w:eastAsia="ru-RU"/>
                <w14:ligatures w14:val="standardContextual"/>
              </w:rPr>
            </w:pPr>
            <w:r w:rsidRPr="000F57AA">
              <w:rPr>
                <w:sz w:val="22"/>
                <w:szCs w:val="22"/>
                <w:lang w:val="ro-RO"/>
              </w:rPr>
              <w:t>{0060;0020}</w:t>
            </w:r>
          </w:p>
        </w:tc>
        <w:tc>
          <w:tcPr>
            <w:tcW w:w="8505" w:type="dxa"/>
            <w:gridSpan w:val="2"/>
          </w:tcPr>
          <w:p w14:paraId="3010D3E9" w14:textId="6F163C22" w:rsidR="00B923A6" w:rsidRPr="000F57AA" w:rsidRDefault="00B923A6" w:rsidP="001C59CA">
            <w:pPr>
              <w:ind w:right="90" w:firstLine="456"/>
              <w:rPr>
                <w:b/>
                <w:bCs/>
                <w:sz w:val="22"/>
                <w:szCs w:val="22"/>
                <w:lang w:val="ro-RO" w:eastAsia="ru-RU"/>
                <w14:ligatures w14:val="standardContextual"/>
              </w:rPr>
            </w:pPr>
            <w:r w:rsidRPr="000F57AA">
              <w:rPr>
                <w:b/>
                <w:bCs/>
                <w:sz w:val="22"/>
                <w:szCs w:val="22"/>
                <w:lang w:val="ro-RO"/>
              </w:rPr>
              <w:t xml:space="preserve">SFT-uri care nu fac obiectul unui acord de compensare între produse diferite – Cuantumul ponderat la risc al expunerilor </w:t>
            </w:r>
            <w:r w:rsidRPr="000F57AA">
              <w:rPr>
                <w:sz w:val="22"/>
                <w:szCs w:val="22"/>
                <w:lang w:val="ro-RO"/>
              </w:rPr>
              <w:t xml:space="preserve">Cuantumurile ponderate la risc ale expunerilor în ceea ce privește riscul de credit și riscul de contraparte pentru SFT-uri, astfel cum sunt calculate în temeiul Regulamentului nr.111/2018 și Regulamentului </w:t>
            </w:r>
            <w:r w:rsidR="00A72ED0" w:rsidRPr="000F57AA">
              <w:rPr>
                <w:sz w:val="22"/>
                <w:szCs w:val="22"/>
                <w:lang w:val="ro-RO"/>
              </w:rPr>
              <w:t>nr.YY/2025</w:t>
            </w:r>
            <w:r w:rsidRPr="000F57AA">
              <w:rPr>
                <w:sz w:val="22"/>
                <w:szCs w:val="22"/>
                <w:lang w:val="ro-RO"/>
              </w:rPr>
              <w:t xml:space="preserve">, inclusiv extrabilanţiere, în cazul în care aceste operaţiuni nu fac obiectul unui acord de compensare între produse diferite, astfel cum este definit la pct.3 din Regulamentul </w:t>
            </w:r>
            <w:r w:rsidR="00A72ED0" w:rsidRPr="000F57AA">
              <w:rPr>
                <w:sz w:val="22"/>
                <w:szCs w:val="22"/>
                <w:lang w:val="ro-RO"/>
              </w:rPr>
              <w:t>nr.YY/2025</w:t>
            </w:r>
            <w:r w:rsidRPr="000F57AA">
              <w:rPr>
                <w:sz w:val="22"/>
                <w:szCs w:val="22"/>
                <w:lang w:val="ro-RO"/>
              </w:rPr>
              <w:t>.</w:t>
            </w:r>
          </w:p>
        </w:tc>
      </w:tr>
      <w:tr w:rsidR="00B923A6" w:rsidRPr="00A05A6A" w14:paraId="7DE7E7F6" w14:textId="77777777" w:rsidTr="0077559D">
        <w:trPr>
          <w:trHeight w:val="161"/>
        </w:trPr>
        <w:tc>
          <w:tcPr>
            <w:tcW w:w="1129" w:type="dxa"/>
          </w:tcPr>
          <w:p w14:paraId="2D3C782B" w14:textId="5A5A1A99" w:rsidR="00B923A6" w:rsidRPr="000F57AA" w:rsidRDefault="00B923A6" w:rsidP="00B923A6">
            <w:pPr>
              <w:ind w:right="90"/>
              <w:rPr>
                <w:sz w:val="22"/>
                <w:szCs w:val="22"/>
                <w:lang w:val="ro-RO" w:eastAsia="ru-RU"/>
                <w14:ligatures w14:val="standardContextual"/>
              </w:rPr>
            </w:pPr>
            <w:r w:rsidRPr="000F57AA">
              <w:rPr>
                <w:sz w:val="22"/>
                <w:szCs w:val="22"/>
                <w:lang w:val="ro-RO"/>
              </w:rPr>
              <w:t>{0065;0010}</w:t>
            </w:r>
          </w:p>
        </w:tc>
        <w:tc>
          <w:tcPr>
            <w:tcW w:w="8505" w:type="dxa"/>
            <w:gridSpan w:val="2"/>
          </w:tcPr>
          <w:p w14:paraId="4DBB55F8" w14:textId="77777777" w:rsidR="00B923A6" w:rsidRPr="000F57AA" w:rsidRDefault="00B923A6" w:rsidP="001C59CA">
            <w:pPr>
              <w:ind w:right="90" w:firstLine="456"/>
              <w:rPr>
                <w:b/>
                <w:bCs/>
                <w:sz w:val="22"/>
                <w:szCs w:val="22"/>
                <w:lang w:val="ro-RO"/>
              </w:rPr>
            </w:pPr>
            <w:r w:rsidRPr="000F57AA">
              <w:rPr>
                <w:b/>
                <w:bCs/>
                <w:sz w:val="22"/>
                <w:szCs w:val="22"/>
                <w:lang w:val="ro-RO"/>
              </w:rPr>
              <w:t xml:space="preserve">Cuantumurile expunerilor rezultate din tratamentul suplimentar al instrumentele financiare derivate de credit – Valoarea expunerii pentru calcularea indicatorului efectului de levier </w:t>
            </w:r>
          </w:p>
          <w:p w14:paraId="03DAD9F3" w14:textId="3CC5F9F3"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Această celulă corespunde diferenţei dintre {LRCalc;0130;0010} și {LRCalc;0140;0010}, mai puţin expunerile intragrup respective (pe bază individuală) excluse în conformitate cu subpct.19.2 din Regulamentul nr.XX/2025.</w:t>
            </w:r>
          </w:p>
        </w:tc>
      </w:tr>
      <w:tr w:rsidR="00B923A6" w:rsidRPr="00A05A6A" w14:paraId="0178F73A" w14:textId="77777777" w:rsidTr="0077559D">
        <w:trPr>
          <w:trHeight w:val="161"/>
        </w:trPr>
        <w:tc>
          <w:tcPr>
            <w:tcW w:w="1129" w:type="dxa"/>
          </w:tcPr>
          <w:p w14:paraId="4D66B4EB" w14:textId="7EED322F" w:rsidR="00B923A6" w:rsidRPr="000F57AA" w:rsidRDefault="00B923A6" w:rsidP="00B923A6">
            <w:pPr>
              <w:ind w:right="90"/>
              <w:rPr>
                <w:sz w:val="22"/>
                <w:szCs w:val="22"/>
                <w:lang w:val="ro-RO" w:eastAsia="ru-RU"/>
                <w14:ligatures w14:val="standardContextual"/>
              </w:rPr>
            </w:pPr>
            <w:r w:rsidRPr="000F57AA">
              <w:rPr>
                <w:sz w:val="22"/>
                <w:szCs w:val="22"/>
                <w:lang w:val="ro-RO"/>
              </w:rPr>
              <w:t>{0070;0010}</w:t>
            </w:r>
          </w:p>
        </w:tc>
        <w:tc>
          <w:tcPr>
            <w:tcW w:w="8505" w:type="dxa"/>
            <w:gridSpan w:val="2"/>
          </w:tcPr>
          <w:p w14:paraId="6CAB3546" w14:textId="77777777" w:rsidR="00B923A6" w:rsidRPr="000F57AA" w:rsidRDefault="00B923A6" w:rsidP="001C59CA">
            <w:pPr>
              <w:ind w:right="90" w:firstLine="456"/>
              <w:rPr>
                <w:b/>
                <w:bCs/>
                <w:sz w:val="22"/>
                <w:szCs w:val="22"/>
                <w:lang w:val="ro-RO"/>
              </w:rPr>
            </w:pPr>
            <w:r w:rsidRPr="000F57AA">
              <w:rPr>
                <w:b/>
                <w:bCs/>
                <w:sz w:val="22"/>
                <w:szCs w:val="22"/>
                <w:lang w:val="ro-RO"/>
              </w:rPr>
              <w:t xml:space="preserve">Alte active din portofoliul de tranzacţionare – Valoarea expunerii pentru calcularea indicatorului efectului de levier </w:t>
            </w:r>
          </w:p>
          <w:p w14:paraId="78376DB7" w14:textId="7F27B689"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Valoarea expunerii pentru calcularea indicatorului efectului de levier al elementelor raportate în {LRCalc;0190;0010}, fără elementele din afara portofoliului de tranzacţionare.</w:t>
            </w:r>
          </w:p>
        </w:tc>
      </w:tr>
      <w:tr w:rsidR="00B923A6" w:rsidRPr="00A05A6A" w14:paraId="2D5477B0" w14:textId="77777777" w:rsidTr="0077559D">
        <w:trPr>
          <w:trHeight w:val="161"/>
        </w:trPr>
        <w:tc>
          <w:tcPr>
            <w:tcW w:w="1129" w:type="dxa"/>
          </w:tcPr>
          <w:p w14:paraId="219B76FC" w14:textId="0513229F" w:rsidR="00B923A6" w:rsidRPr="000F57AA" w:rsidRDefault="00B923A6" w:rsidP="00B923A6">
            <w:pPr>
              <w:ind w:right="90"/>
              <w:rPr>
                <w:sz w:val="22"/>
                <w:szCs w:val="22"/>
                <w:lang w:val="ro-RO" w:eastAsia="ru-RU"/>
                <w14:ligatures w14:val="standardContextual"/>
              </w:rPr>
            </w:pPr>
            <w:r w:rsidRPr="000F57AA">
              <w:rPr>
                <w:sz w:val="22"/>
                <w:szCs w:val="22"/>
                <w:lang w:val="ro-RO"/>
              </w:rPr>
              <w:t>{0070;0020}</w:t>
            </w:r>
          </w:p>
        </w:tc>
        <w:tc>
          <w:tcPr>
            <w:tcW w:w="8505" w:type="dxa"/>
            <w:gridSpan w:val="2"/>
          </w:tcPr>
          <w:p w14:paraId="5F987AE8" w14:textId="77777777" w:rsidR="00B923A6" w:rsidRPr="000F57AA" w:rsidRDefault="00B923A6" w:rsidP="001C59CA">
            <w:pPr>
              <w:ind w:right="90" w:firstLine="456"/>
              <w:rPr>
                <w:b/>
                <w:bCs/>
                <w:sz w:val="22"/>
                <w:szCs w:val="22"/>
                <w:lang w:val="ro-RO"/>
              </w:rPr>
            </w:pPr>
            <w:r w:rsidRPr="000F57AA">
              <w:rPr>
                <w:b/>
                <w:bCs/>
                <w:sz w:val="22"/>
                <w:szCs w:val="22"/>
                <w:lang w:val="ro-RO"/>
              </w:rPr>
              <w:t xml:space="preserve">Alte active din portofoliul de tranzacţionare – Cuantumul ponderat la risc al expunerilor </w:t>
            </w:r>
          </w:p>
          <w:p w14:paraId="643055B2" w14:textId="6D74BBB7" w:rsidR="00B923A6" w:rsidRPr="000F57AA" w:rsidRDefault="00B923A6" w:rsidP="001C59CA">
            <w:pPr>
              <w:ind w:right="90" w:firstLine="456"/>
              <w:rPr>
                <w:b/>
                <w:bCs/>
                <w:sz w:val="22"/>
                <w:szCs w:val="22"/>
                <w:lang w:val="ro-RO" w:eastAsia="ru-RU"/>
                <w14:ligatures w14:val="standardContextual"/>
              </w:rPr>
            </w:pPr>
            <w:r w:rsidRPr="000F57AA">
              <w:rPr>
                <w:sz w:val="22"/>
                <w:szCs w:val="22"/>
                <w:lang w:val="ro-RO"/>
              </w:rPr>
              <w:t>Cerinţele de fonduri proprii înmulţite cu</w:t>
            </w:r>
            <w:r w:rsidR="00235AD3" w:rsidRPr="000F57AA">
              <w:rPr>
                <w:sz w:val="22"/>
                <w:szCs w:val="22"/>
                <w:lang w:val="ro-RO"/>
              </w:rPr>
              <w:t xml:space="preserve"> 10,0</w:t>
            </w:r>
            <w:r w:rsidRPr="000F57AA">
              <w:rPr>
                <w:sz w:val="22"/>
                <w:szCs w:val="22"/>
                <w:lang w:val="ro-RO"/>
              </w:rPr>
              <w:t xml:space="preserve">  pentru elementele care intră sub incidenţa Regulamentului nr.109/2018.</w:t>
            </w:r>
          </w:p>
        </w:tc>
      </w:tr>
      <w:tr w:rsidR="00B923A6" w:rsidRPr="000F57AA" w14:paraId="614A7796" w14:textId="77777777" w:rsidTr="0077559D">
        <w:trPr>
          <w:trHeight w:val="161"/>
        </w:trPr>
        <w:tc>
          <w:tcPr>
            <w:tcW w:w="1129" w:type="dxa"/>
          </w:tcPr>
          <w:p w14:paraId="6C5DC137" w14:textId="4B3A2080" w:rsidR="00B923A6" w:rsidRPr="000F57AA" w:rsidRDefault="00B923A6" w:rsidP="00B923A6">
            <w:pPr>
              <w:ind w:right="90"/>
              <w:rPr>
                <w:sz w:val="22"/>
                <w:szCs w:val="22"/>
                <w:lang w:val="ro-RO" w:eastAsia="ru-RU"/>
                <w14:ligatures w14:val="standardContextual"/>
              </w:rPr>
            </w:pPr>
            <w:r w:rsidRPr="000F57AA">
              <w:rPr>
                <w:sz w:val="22"/>
                <w:szCs w:val="22"/>
                <w:lang w:val="ro-RO"/>
              </w:rPr>
              <w:t>{0080;0010}</w:t>
            </w:r>
          </w:p>
        </w:tc>
        <w:tc>
          <w:tcPr>
            <w:tcW w:w="7513" w:type="dxa"/>
          </w:tcPr>
          <w:p w14:paraId="36CECFC0" w14:textId="0E24CA39" w:rsidR="00B923A6" w:rsidRPr="000F57AA" w:rsidRDefault="00B923A6" w:rsidP="001C59CA">
            <w:pPr>
              <w:ind w:right="90" w:firstLine="456"/>
              <w:rPr>
                <w:b/>
                <w:bCs/>
                <w:sz w:val="22"/>
                <w:szCs w:val="22"/>
                <w:lang w:val="ro-RO" w:eastAsia="ru-RU"/>
                <w14:ligatures w14:val="standardContextual"/>
              </w:rPr>
            </w:pPr>
            <w:r w:rsidRPr="000F57AA">
              <w:rPr>
                <w:b/>
                <w:bCs/>
                <w:sz w:val="22"/>
                <w:szCs w:val="22"/>
                <w:lang w:val="ro-RO"/>
              </w:rPr>
              <w:t xml:space="preserve">Obligaţiuni garantate („covered bonds”) – Valoarea expunerii pentru calcularea indicatorului efectului de levier – Expuneri în cadrul abordării standardizate </w:t>
            </w:r>
          </w:p>
        </w:tc>
        <w:tc>
          <w:tcPr>
            <w:tcW w:w="992" w:type="dxa"/>
          </w:tcPr>
          <w:p w14:paraId="63CA41C8" w14:textId="5907284D" w:rsidR="00B923A6" w:rsidRPr="000F57AA" w:rsidRDefault="00B923A6" w:rsidP="00B923A6">
            <w:pPr>
              <w:ind w:right="90"/>
              <w:rPr>
                <w:sz w:val="22"/>
                <w:szCs w:val="22"/>
                <w:lang w:val="ro-RO" w:eastAsia="ru-RU"/>
                <w14:ligatures w14:val="standardContextual"/>
              </w:rPr>
            </w:pPr>
            <w:r w:rsidRPr="000F57AA">
              <w:rPr>
                <w:sz w:val="22"/>
                <w:szCs w:val="22"/>
                <w:lang w:val="ro-RO" w:eastAsia="ru-RU"/>
                <w14:ligatures w14:val="standardContextual"/>
              </w:rPr>
              <w:t>blocat</w:t>
            </w:r>
          </w:p>
        </w:tc>
      </w:tr>
      <w:tr w:rsidR="00B923A6" w:rsidRPr="000F57AA" w14:paraId="58D091FB" w14:textId="77777777" w:rsidTr="0077559D">
        <w:trPr>
          <w:trHeight w:val="161"/>
        </w:trPr>
        <w:tc>
          <w:tcPr>
            <w:tcW w:w="1129" w:type="dxa"/>
          </w:tcPr>
          <w:p w14:paraId="6CC93C7A" w14:textId="51372A44" w:rsidR="00B923A6" w:rsidRPr="000F57AA" w:rsidRDefault="00B923A6" w:rsidP="00B923A6">
            <w:pPr>
              <w:ind w:right="90"/>
              <w:rPr>
                <w:sz w:val="22"/>
                <w:szCs w:val="22"/>
                <w:lang w:val="ro-RO" w:eastAsia="ru-RU"/>
                <w14:ligatures w14:val="standardContextual"/>
              </w:rPr>
            </w:pPr>
            <w:r w:rsidRPr="000F57AA">
              <w:rPr>
                <w:sz w:val="22"/>
                <w:szCs w:val="22"/>
                <w:lang w:val="ro-RO"/>
              </w:rPr>
              <w:t>{0080;0020}</w:t>
            </w:r>
          </w:p>
        </w:tc>
        <w:tc>
          <w:tcPr>
            <w:tcW w:w="7513" w:type="dxa"/>
          </w:tcPr>
          <w:p w14:paraId="1CE1A10E" w14:textId="346EAC9F" w:rsidR="00B923A6" w:rsidRPr="000F57AA" w:rsidRDefault="00B923A6" w:rsidP="001C59CA">
            <w:pPr>
              <w:ind w:right="90" w:firstLine="456"/>
              <w:rPr>
                <w:b/>
                <w:bCs/>
                <w:sz w:val="22"/>
                <w:szCs w:val="22"/>
                <w:lang w:val="ro-RO" w:eastAsia="ru-RU"/>
                <w14:ligatures w14:val="standardContextual"/>
              </w:rPr>
            </w:pPr>
            <w:r w:rsidRPr="000F57AA">
              <w:rPr>
                <w:b/>
                <w:bCs/>
                <w:sz w:val="22"/>
                <w:szCs w:val="22"/>
                <w:lang w:val="ro-RO"/>
              </w:rPr>
              <w:t xml:space="preserve">Obligaţiuni garantate („covered bonds”) – Valoarea expunerii pentru calcularea indicatorului efectului de levier – Expuneri în cadrul abordării bazate pe modele interne de rating </w:t>
            </w:r>
          </w:p>
        </w:tc>
        <w:tc>
          <w:tcPr>
            <w:tcW w:w="992" w:type="dxa"/>
          </w:tcPr>
          <w:p w14:paraId="7F221019" w14:textId="60FB80A6" w:rsidR="00B923A6" w:rsidRPr="000F57AA" w:rsidRDefault="00B923A6" w:rsidP="00B923A6">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923A6" w:rsidRPr="000F57AA" w14:paraId="15B88A43" w14:textId="77777777" w:rsidTr="0077559D">
        <w:trPr>
          <w:trHeight w:val="161"/>
        </w:trPr>
        <w:tc>
          <w:tcPr>
            <w:tcW w:w="1129" w:type="dxa"/>
          </w:tcPr>
          <w:p w14:paraId="65AF895D" w14:textId="16617A7A" w:rsidR="00B923A6" w:rsidRPr="000F57AA" w:rsidRDefault="00B923A6" w:rsidP="00B923A6">
            <w:pPr>
              <w:ind w:right="90"/>
              <w:rPr>
                <w:sz w:val="22"/>
                <w:szCs w:val="22"/>
                <w:lang w:val="ro-RO" w:eastAsia="ru-RU"/>
                <w14:ligatures w14:val="standardContextual"/>
              </w:rPr>
            </w:pPr>
            <w:r w:rsidRPr="000F57AA">
              <w:rPr>
                <w:sz w:val="22"/>
                <w:szCs w:val="22"/>
                <w:lang w:val="ro-RO"/>
              </w:rPr>
              <w:lastRenderedPageBreak/>
              <w:t>{0080;0030}</w:t>
            </w:r>
          </w:p>
        </w:tc>
        <w:tc>
          <w:tcPr>
            <w:tcW w:w="7513" w:type="dxa"/>
          </w:tcPr>
          <w:p w14:paraId="66FF3704" w14:textId="2134BB29" w:rsidR="00B923A6" w:rsidRPr="000F57AA" w:rsidRDefault="00B923A6" w:rsidP="001C59CA">
            <w:pPr>
              <w:ind w:right="90" w:firstLine="456"/>
              <w:rPr>
                <w:b/>
                <w:bCs/>
                <w:sz w:val="22"/>
                <w:szCs w:val="22"/>
                <w:lang w:val="ro-RO" w:eastAsia="ru-RU"/>
                <w14:ligatures w14:val="standardContextual"/>
              </w:rPr>
            </w:pPr>
            <w:r w:rsidRPr="000F57AA">
              <w:rPr>
                <w:b/>
                <w:bCs/>
                <w:sz w:val="22"/>
                <w:szCs w:val="22"/>
                <w:lang w:val="ro-RO"/>
              </w:rPr>
              <w:t>Obligaţiuni garantate („covered bonds”) – Cuantumul ponderat la risc al expunerilor – Expuneri în cadrul abordării standardizate</w:t>
            </w:r>
          </w:p>
        </w:tc>
        <w:tc>
          <w:tcPr>
            <w:tcW w:w="992" w:type="dxa"/>
          </w:tcPr>
          <w:p w14:paraId="1A359C44" w14:textId="11A9B75B" w:rsidR="00B923A6" w:rsidRPr="000F57AA" w:rsidRDefault="00B923A6" w:rsidP="00B923A6">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923A6" w:rsidRPr="000F57AA" w14:paraId="05A1F77E" w14:textId="77777777" w:rsidTr="0077559D">
        <w:trPr>
          <w:trHeight w:val="161"/>
        </w:trPr>
        <w:tc>
          <w:tcPr>
            <w:tcW w:w="1129" w:type="dxa"/>
          </w:tcPr>
          <w:p w14:paraId="3C4427F3" w14:textId="7561AF3E" w:rsidR="00B923A6" w:rsidRPr="000F57AA" w:rsidRDefault="00B923A6" w:rsidP="00B923A6">
            <w:pPr>
              <w:ind w:right="90"/>
              <w:rPr>
                <w:sz w:val="22"/>
                <w:szCs w:val="22"/>
                <w:lang w:val="ro-RO" w:eastAsia="ru-RU"/>
                <w14:ligatures w14:val="standardContextual"/>
              </w:rPr>
            </w:pPr>
            <w:r w:rsidRPr="000F57AA">
              <w:rPr>
                <w:sz w:val="22"/>
                <w:szCs w:val="22"/>
                <w:lang w:val="ro-RO"/>
              </w:rPr>
              <w:t>{0080;0040}</w:t>
            </w:r>
          </w:p>
        </w:tc>
        <w:tc>
          <w:tcPr>
            <w:tcW w:w="7513" w:type="dxa"/>
          </w:tcPr>
          <w:p w14:paraId="6B3B0114" w14:textId="19FD9C13" w:rsidR="00B923A6" w:rsidRPr="000F57AA" w:rsidRDefault="00B923A6" w:rsidP="001C59CA">
            <w:pPr>
              <w:ind w:right="90" w:firstLine="456"/>
              <w:rPr>
                <w:b/>
                <w:bCs/>
                <w:sz w:val="22"/>
                <w:szCs w:val="22"/>
                <w:lang w:val="ro-RO" w:eastAsia="ru-RU"/>
                <w14:ligatures w14:val="standardContextual"/>
              </w:rPr>
            </w:pPr>
            <w:r w:rsidRPr="000F57AA">
              <w:rPr>
                <w:b/>
                <w:bCs/>
                <w:sz w:val="22"/>
                <w:szCs w:val="22"/>
                <w:lang w:val="ro-RO"/>
              </w:rPr>
              <w:t xml:space="preserve">Obligaţiuni garantate („covered bonds”) – Cuantumul ponderat la risc al expunerilor – Expuneri în cadrul abordării bazate pe modele interne de rating </w:t>
            </w:r>
          </w:p>
        </w:tc>
        <w:tc>
          <w:tcPr>
            <w:tcW w:w="992" w:type="dxa"/>
          </w:tcPr>
          <w:p w14:paraId="1DBD6394" w14:textId="1AA4C2B4" w:rsidR="00B923A6" w:rsidRPr="000F57AA" w:rsidRDefault="00B923A6" w:rsidP="00B923A6">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E118D" w:rsidRPr="00A05A6A" w14:paraId="079AA475" w14:textId="77777777" w:rsidTr="0077559D">
        <w:trPr>
          <w:trHeight w:val="161"/>
        </w:trPr>
        <w:tc>
          <w:tcPr>
            <w:tcW w:w="1129" w:type="dxa"/>
          </w:tcPr>
          <w:p w14:paraId="28E5209E" w14:textId="6A9DF96E" w:rsidR="006E118D" w:rsidRPr="000F57AA" w:rsidRDefault="006E118D" w:rsidP="006E118D">
            <w:pPr>
              <w:ind w:right="90"/>
              <w:rPr>
                <w:sz w:val="22"/>
                <w:szCs w:val="22"/>
                <w:lang w:val="ro-RO" w:eastAsia="ru-RU"/>
                <w14:ligatures w14:val="standardContextual"/>
              </w:rPr>
            </w:pPr>
            <w:r w:rsidRPr="000F57AA">
              <w:rPr>
                <w:sz w:val="22"/>
                <w:szCs w:val="22"/>
                <w:lang w:val="ro-RO"/>
              </w:rPr>
              <w:t>{0090,0010}</w:t>
            </w:r>
          </w:p>
        </w:tc>
        <w:tc>
          <w:tcPr>
            <w:tcW w:w="8505" w:type="dxa"/>
            <w:gridSpan w:val="2"/>
          </w:tcPr>
          <w:p w14:paraId="4976D357" w14:textId="77777777" w:rsidR="006E118D" w:rsidRPr="000F57AA" w:rsidRDefault="006E118D" w:rsidP="001C59CA">
            <w:pPr>
              <w:ind w:right="90" w:firstLine="456"/>
              <w:rPr>
                <w:b/>
                <w:bCs/>
                <w:sz w:val="22"/>
                <w:szCs w:val="22"/>
                <w:lang w:val="ro-RO"/>
              </w:rPr>
            </w:pPr>
            <w:r w:rsidRPr="000F57AA">
              <w:rPr>
                <w:b/>
                <w:bCs/>
                <w:sz w:val="22"/>
                <w:szCs w:val="22"/>
                <w:lang w:val="ro-RO"/>
              </w:rPr>
              <w:t xml:space="preserve">Expuneri tratate ca suverane – Valoarea expunerii pentru calcularea indicatorului efectului de levier – Expuneri în cadrul abordării standardizate </w:t>
            </w:r>
          </w:p>
          <w:p w14:paraId="6E969D66" w14:textId="77777777" w:rsidR="006E118D" w:rsidRPr="000F57AA" w:rsidRDefault="006E118D" w:rsidP="001C59CA">
            <w:pPr>
              <w:ind w:right="90" w:firstLine="456"/>
              <w:rPr>
                <w:sz w:val="22"/>
                <w:szCs w:val="22"/>
                <w:lang w:val="ro-RO"/>
              </w:rPr>
            </w:pPr>
            <w:r w:rsidRPr="000F57AA">
              <w:rPr>
                <w:sz w:val="22"/>
                <w:szCs w:val="22"/>
                <w:lang w:val="ro-RO"/>
              </w:rPr>
              <w:t xml:space="preserve">Suma celulelor de la {0100,0010} până la {0130,0010}. </w:t>
            </w:r>
          </w:p>
          <w:p w14:paraId="79212523" w14:textId="2321485E" w:rsidR="006E118D" w:rsidRPr="000F57AA" w:rsidRDefault="006E118D" w:rsidP="001C59CA">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6E118D" w:rsidRPr="000F57AA" w14:paraId="537201B4" w14:textId="77777777" w:rsidTr="0077559D">
        <w:trPr>
          <w:trHeight w:val="161"/>
        </w:trPr>
        <w:tc>
          <w:tcPr>
            <w:tcW w:w="1129" w:type="dxa"/>
          </w:tcPr>
          <w:p w14:paraId="1EFCC23B" w14:textId="33A18201" w:rsidR="006E118D" w:rsidRPr="000F57AA" w:rsidRDefault="006E118D" w:rsidP="006E118D">
            <w:pPr>
              <w:ind w:right="90"/>
              <w:rPr>
                <w:sz w:val="22"/>
                <w:szCs w:val="22"/>
                <w:lang w:val="ro-RO" w:eastAsia="ru-RU"/>
                <w14:ligatures w14:val="standardContextual"/>
              </w:rPr>
            </w:pPr>
            <w:r w:rsidRPr="000F57AA">
              <w:rPr>
                <w:sz w:val="22"/>
                <w:szCs w:val="22"/>
                <w:lang w:val="ro-RO"/>
              </w:rPr>
              <w:t>{0090;0020}</w:t>
            </w:r>
          </w:p>
        </w:tc>
        <w:tc>
          <w:tcPr>
            <w:tcW w:w="7513" w:type="dxa"/>
          </w:tcPr>
          <w:p w14:paraId="52E6DF35" w14:textId="1F521713" w:rsidR="006E118D" w:rsidRPr="000F57AA" w:rsidRDefault="006E118D" w:rsidP="001C59CA">
            <w:pPr>
              <w:ind w:right="90" w:firstLine="456"/>
              <w:rPr>
                <w:b/>
                <w:bCs/>
                <w:sz w:val="22"/>
                <w:szCs w:val="22"/>
                <w:lang w:val="ro-RO" w:eastAsia="ru-RU"/>
                <w14:ligatures w14:val="standardContextual"/>
              </w:rPr>
            </w:pPr>
            <w:r w:rsidRPr="000F57AA">
              <w:rPr>
                <w:b/>
                <w:bCs/>
                <w:sz w:val="22"/>
                <w:szCs w:val="22"/>
                <w:lang w:val="ro-RO"/>
              </w:rPr>
              <w:t xml:space="preserve">Expuneri tratate ca suverane – Valoarea expunerii pentru calcularea indicatorului efectului de levier – Expuneri în cadrul abordării bazate pe modele interne de rating </w:t>
            </w:r>
          </w:p>
        </w:tc>
        <w:tc>
          <w:tcPr>
            <w:tcW w:w="992" w:type="dxa"/>
          </w:tcPr>
          <w:p w14:paraId="61B40D60" w14:textId="1D3420AB" w:rsidR="006E118D" w:rsidRPr="000F57AA" w:rsidRDefault="006E118D" w:rsidP="001C59C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E118D" w:rsidRPr="00A05A6A" w14:paraId="2FF41A18" w14:textId="77777777" w:rsidTr="0077559D">
        <w:trPr>
          <w:trHeight w:val="161"/>
        </w:trPr>
        <w:tc>
          <w:tcPr>
            <w:tcW w:w="1129" w:type="dxa"/>
          </w:tcPr>
          <w:p w14:paraId="07BB8296" w14:textId="2E6C2110" w:rsidR="006E118D" w:rsidRPr="000F57AA" w:rsidRDefault="006E118D" w:rsidP="006E118D">
            <w:pPr>
              <w:ind w:right="90"/>
              <w:rPr>
                <w:sz w:val="22"/>
                <w:szCs w:val="22"/>
                <w:lang w:val="ro-RO" w:eastAsia="ru-RU"/>
                <w14:ligatures w14:val="standardContextual"/>
              </w:rPr>
            </w:pPr>
            <w:r w:rsidRPr="000F57AA">
              <w:rPr>
                <w:sz w:val="22"/>
                <w:szCs w:val="22"/>
                <w:lang w:val="ro-RO"/>
              </w:rPr>
              <w:t>{0090;0030}</w:t>
            </w:r>
          </w:p>
        </w:tc>
        <w:tc>
          <w:tcPr>
            <w:tcW w:w="8505" w:type="dxa"/>
            <w:gridSpan w:val="2"/>
          </w:tcPr>
          <w:p w14:paraId="053D3FCD" w14:textId="77777777" w:rsidR="006E118D" w:rsidRPr="000F57AA" w:rsidRDefault="006E118D" w:rsidP="001C59CA">
            <w:pPr>
              <w:ind w:right="90" w:firstLine="456"/>
              <w:rPr>
                <w:b/>
                <w:bCs/>
                <w:sz w:val="22"/>
                <w:szCs w:val="22"/>
                <w:lang w:val="ro-RO"/>
              </w:rPr>
            </w:pPr>
            <w:r w:rsidRPr="000F57AA">
              <w:rPr>
                <w:b/>
                <w:bCs/>
                <w:sz w:val="22"/>
                <w:szCs w:val="22"/>
                <w:lang w:val="ro-RO"/>
              </w:rPr>
              <w:t xml:space="preserve">Expuneri tratate ca suverane – Cuantumul ponderat la risc al expunerilor – Expuneri în cadrul abordării standardizate </w:t>
            </w:r>
          </w:p>
          <w:p w14:paraId="19C55EE9" w14:textId="77777777" w:rsidR="006E118D" w:rsidRPr="000F57AA" w:rsidRDefault="006E118D" w:rsidP="001C59CA">
            <w:pPr>
              <w:ind w:right="90" w:firstLine="456"/>
              <w:rPr>
                <w:sz w:val="22"/>
                <w:szCs w:val="22"/>
                <w:lang w:val="ro-RO"/>
              </w:rPr>
            </w:pPr>
            <w:r w:rsidRPr="000F57AA">
              <w:rPr>
                <w:sz w:val="22"/>
                <w:szCs w:val="22"/>
                <w:lang w:val="ro-RO"/>
              </w:rPr>
              <w:t xml:space="preserve">Suma celulelor de la {0100,0030} până la {0130,0030}. </w:t>
            </w:r>
          </w:p>
          <w:p w14:paraId="3F8D6F50" w14:textId="43D6D667" w:rsidR="006E118D" w:rsidRPr="000F57AA" w:rsidRDefault="006E118D" w:rsidP="001C59CA">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6E118D" w:rsidRPr="000F57AA" w14:paraId="070ABFEE" w14:textId="77777777" w:rsidTr="0077559D">
        <w:trPr>
          <w:trHeight w:val="161"/>
        </w:trPr>
        <w:tc>
          <w:tcPr>
            <w:tcW w:w="1129" w:type="dxa"/>
          </w:tcPr>
          <w:p w14:paraId="5BC64F65" w14:textId="536C4B5A" w:rsidR="006E118D" w:rsidRPr="000F57AA" w:rsidRDefault="006E118D" w:rsidP="006E118D">
            <w:pPr>
              <w:ind w:right="90"/>
              <w:rPr>
                <w:sz w:val="22"/>
                <w:szCs w:val="22"/>
                <w:lang w:val="ro-RO" w:eastAsia="ru-RU"/>
                <w14:ligatures w14:val="standardContextual"/>
              </w:rPr>
            </w:pPr>
            <w:r w:rsidRPr="000F57AA">
              <w:rPr>
                <w:sz w:val="22"/>
                <w:szCs w:val="22"/>
                <w:lang w:val="ro-RO"/>
              </w:rPr>
              <w:t>{0090;0040}</w:t>
            </w:r>
          </w:p>
        </w:tc>
        <w:tc>
          <w:tcPr>
            <w:tcW w:w="7513" w:type="dxa"/>
          </w:tcPr>
          <w:p w14:paraId="20E86536" w14:textId="2D527E22" w:rsidR="006E118D" w:rsidRPr="000F57AA" w:rsidRDefault="006E118D" w:rsidP="001C59CA">
            <w:pPr>
              <w:ind w:right="90" w:firstLine="456"/>
              <w:rPr>
                <w:b/>
                <w:bCs/>
                <w:sz w:val="22"/>
                <w:szCs w:val="22"/>
                <w:lang w:val="ro-RO" w:eastAsia="ru-RU"/>
                <w14:ligatures w14:val="standardContextual"/>
              </w:rPr>
            </w:pPr>
            <w:r w:rsidRPr="000F57AA">
              <w:rPr>
                <w:b/>
                <w:bCs/>
                <w:sz w:val="22"/>
                <w:szCs w:val="22"/>
                <w:lang w:val="ro-RO"/>
              </w:rPr>
              <w:t xml:space="preserve">Expuneri tratate ca suverane – Cuantumul ponderat la risc al expunerilor – Expuneri în cadrul abordării bazate pe modele interne de rating </w:t>
            </w:r>
          </w:p>
        </w:tc>
        <w:tc>
          <w:tcPr>
            <w:tcW w:w="992" w:type="dxa"/>
          </w:tcPr>
          <w:p w14:paraId="61E0C5A2" w14:textId="31F20910" w:rsidR="006E118D" w:rsidRPr="000F57AA" w:rsidRDefault="006E118D" w:rsidP="001C59C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E118D" w:rsidRPr="00A05A6A" w14:paraId="418F50B6" w14:textId="77777777" w:rsidTr="0077559D">
        <w:trPr>
          <w:trHeight w:val="161"/>
        </w:trPr>
        <w:tc>
          <w:tcPr>
            <w:tcW w:w="1129" w:type="dxa"/>
          </w:tcPr>
          <w:p w14:paraId="146EACD8" w14:textId="7BE1FADD" w:rsidR="006E118D" w:rsidRPr="000F57AA" w:rsidRDefault="006E118D" w:rsidP="006E118D">
            <w:pPr>
              <w:ind w:right="90"/>
              <w:rPr>
                <w:sz w:val="22"/>
                <w:szCs w:val="22"/>
                <w:lang w:val="ro-RO" w:eastAsia="ru-RU"/>
                <w14:ligatures w14:val="standardContextual"/>
              </w:rPr>
            </w:pPr>
            <w:r w:rsidRPr="000F57AA">
              <w:rPr>
                <w:sz w:val="22"/>
                <w:szCs w:val="22"/>
                <w:lang w:val="ro-RO"/>
              </w:rPr>
              <w:t>{0100;0010}</w:t>
            </w:r>
          </w:p>
        </w:tc>
        <w:tc>
          <w:tcPr>
            <w:tcW w:w="8505" w:type="dxa"/>
            <w:gridSpan w:val="2"/>
          </w:tcPr>
          <w:p w14:paraId="2761D8BD" w14:textId="77777777" w:rsidR="006E118D" w:rsidRPr="000F57AA" w:rsidRDefault="006E118D" w:rsidP="001C59CA">
            <w:pPr>
              <w:ind w:right="90" w:firstLine="456"/>
              <w:rPr>
                <w:b/>
                <w:bCs/>
                <w:sz w:val="22"/>
                <w:szCs w:val="22"/>
                <w:lang w:val="ro-RO"/>
              </w:rPr>
            </w:pPr>
            <w:r w:rsidRPr="000F57AA">
              <w:rPr>
                <w:b/>
                <w:bCs/>
                <w:sz w:val="22"/>
                <w:szCs w:val="22"/>
                <w:lang w:val="ro-RO"/>
              </w:rPr>
              <w:t xml:space="preserve">Administraţii centrale și bănci centrale – Valoarea expunerii pentru calcularea indicatorului efectului de levier – Expuneri în cadrul abordării standardizate </w:t>
            </w:r>
          </w:p>
          <w:p w14:paraId="6FC4863A" w14:textId="77777777" w:rsidR="006E118D" w:rsidRPr="000F57AA" w:rsidRDefault="006E118D" w:rsidP="001C59CA">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administraţii centrale sau bănci centrale în cadrul abordării standardizate, astfel cum sunt prevăzute la pct.29-33 din Regulamentul nr.111/2018. </w:t>
            </w:r>
          </w:p>
          <w:p w14:paraId="74E99F40" w14:textId="615E486B" w:rsidR="006E118D" w:rsidRPr="000F57AA" w:rsidRDefault="006E118D" w:rsidP="001C59CA">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6E118D" w:rsidRPr="000F57AA" w14:paraId="3E573467" w14:textId="77777777" w:rsidTr="0077559D">
        <w:trPr>
          <w:trHeight w:val="161"/>
        </w:trPr>
        <w:tc>
          <w:tcPr>
            <w:tcW w:w="1129" w:type="dxa"/>
          </w:tcPr>
          <w:p w14:paraId="27BD312C" w14:textId="3FA38C21" w:rsidR="006E118D" w:rsidRPr="000F57AA" w:rsidRDefault="006E118D" w:rsidP="006E118D">
            <w:pPr>
              <w:ind w:right="90"/>
              <w:rPr>
                <w:sz w:val="22"/>
                <w:szCs w:val="22"/>
                <w:lang w:val="ro-RO" w:eastAsia="ru-RU"/>
                <w14:ligatures w14:val="standardContextual"/>
              </w:rPr>
            </w:pPr>
            <w:r w:rsidRPr="000F57AA">
              <w:rPr>
                <w:sz w:val="22"/>
                <w:szCs w:val="22"/>
                <w:lang w:val="ro-RO"/>
              </w:rPr>
              <w:t>{0100;0020}</w:t>
            </w:r>
          </w:p>
        </w:tc>
        <w:tc>
          <w:tcPr>
            <w:tcW w:w="7513" w:type="dxa"/>
          </w:tcPr>
          <w:p w14:paraId="1B375838" w14:textId="3B2628BF" w:rsidR="006E118D" w:rsidRPr="000F57AA" w:rsidRDefault="006E118D" w:rsidP="001C59CA">
            <w:pPr>
              <w:ind w:right="90" w:firstLine="456"/>
              <w:rPr>
                <w:b/>
                <w:bCs/>
                <w:sz w:val="22"/>
                <w:szCs w:val="22"/>
                <w:lang w:val="ro-RO" w:eastAsia="ru-RU"/>
                <w14:ligatures w14:val="standardContextual"/>
              </w:rPr>
            </w:pPr>
            <w:r w:rsidRPr="000F57AA">
              <w:rPr>
                <w:b/>
                <w:bCs/>
                <w:sz w:val="22"/>
                <w:szCs w:val="22"/>
                <w:lang w:val="ro-RO"/>
              </w:rPr>
              <w:t xml:space="preserve">Administraţii centrale și bănci centrale – Valoarea expunerii pentru calcularea indicatorului efectului de levier – Expuneri în cadrul abordării bazate pe modele interne de rating </w:t>
            </w:r>
          </w:p>
        </w:tc>
        <w:tc>
          <w:tcPr>
            <w:tcW w:w="992" w:type="dxa"/>
          </w:tcPr>
          <w:p w14:paraId="20141ADC" w14:textId="125293E5" w:rsidR="006E118D" w:rsidRPr="000F57AA" w:rsidRDefault="006E118D" w:rsidP="001C59C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6E118D" w:rsidRPr="00A05A6A" w14:paraId="748FC809" w14:textId="77777777" w:rsidTr="0077559D">
        <w:trPr>
          <w:trHeight w:val="161"/>
        </w:trPr>
        <w:tc>
          <w:tcPr>
            <w:tcW w:w="1129" w:type="dxa"/>
          </w:tcPr>
          <w:p w14:paraId="2C85EFB1" w14:textId="614320B5" w:rsidR="006E118D" w:rsidRPr="000F57AA" w:rsidRDefault="006E118D" w:rsidP="006E118D">
            <w:pPr>
              <w:ind w:right="90"/>
              <w:rPr>
                <w:sz w:val="22"/>
                <w:szCs w:val="22"/>
                <w:lang w:val="ro-RO" w:eastAsia="ru-RU"/>
                <w14:ligatures w14:val="standardContextual"/>
              </w:rPr>
            </w:pPr>
            <w:r w:rsidRPr="000F57AA">
              <w:rPr>
                <w:sz w:val="22"/>
                <w:szCs w:val="22"/>
                <w:lang w:val="ro-RO"/>
              </w:rPr>
              <w:t>{0100;0030}</w:t>
            </w:r>
          </w:p>
        </w:tc>
        <w:tc>
          <w:tcPr>
            <w:tcW w:w="8505" w:type="dxa"/>
            <w:gridSpan w:val="2"/>
          </w:tcPr>
          <w:p w14:paraId="674AA3DB" w14:textId="77777777" w:rsidR="006E118D" w:rsidRPr="000F57AA" w:rsidRDefault="006E118D" w:rsidP="001C59CA">
            <w:pPr>
              <w:ind w:right="90" w:firstLine="456"/>
              <w:rPr>
                <w:b/>
                <w:bCs/>
                <w:sz w:val="22"/>
                <w:szCs w:val="22"/>
                <w:lang w:val="ro-RO"/>
              </w:rPr>
            </w:pPr>
            <w:r w:rsidRPr="000F57AA">
              <w:rPr>
                <w:b/>
                <w:bCs/>
                <w:sz w:val="22"/>
                <w:szCs w:val="22"/>
                <w:lang w:val="ro-RO"/>
              </w:rPr>
              <w:t xml:space="preserve">Administraţii centrale și bănci centrale – Cuantumul ponderat la risc al expunerilor – Expuneri în cadrul abordării standardizate </w:t>
            </w:r>
          </w:p>
          <w:p w14:paraId="357CFC2D" w14:textId="77777777" w:rsidR="006E118D" w:rsidRPr="000F57AA" w:rsidRDefault="006E118D" w:rsidP="001C59CA">
            <w:pPr>
              <w:ind w:right="90" w:firstLine="456"/>
              <w:rPr>
                <w:sz w:val="22"/>
                <w:szCs w:val="22"/>
                <w:lang w:val="ro-RO"/>
              </w:rPr>
            </w:pPr>
            <w:r w:rsidRPr="000F57AA">
              <w:rPr>
                <w:sz w:val="22"/>
                <w:szCs w:val="22"/>
                <w:lang w:val="ro-RO"/>
              </w:rPr>
              <w:t xml:space="preserve">Cuantumul ponderat la risc al expunerii activelor care reprezintă expuneri faţă de administraţii centrale sau bănci centrale în cadrul abordării standardizate, astfel cum sunt prevăzute la pct.29-33 din Regulamentul nr.111/2018. </w:t>
            </w:r>
          </w:p>
          <w:p w14:paraId="29491AA4" w14:textId="16E3083E" w:rsidR="006E118D" w:rsidRPr="000F57AA" w:rsidRDefault="006E118D" w:rsidP="001C59CA">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6E118D" w:rsidRPr="000F57AA" w14:paraId="14116A08" w14:textId="77777777" w:rsidTr="0077559D">
        <w:trPr>
          <w:trHeight w:val="161"/>
        </w:trPr>
        <w:tc>
          <w:tcPr>
            <w:tcW w:w="1129" w:type="dxa"/>
          </w:tcPr>
          <w:p w14:paraId="0544D88C" w14:textId="1CE80998" w:rsidR="006E118D" w:rsidRPr="000F57AA" w:rsidRDefault="006E118D" w:rsidP="006E118D">
            <w:pPr>
              <w:ind w:right="90"/>
              <w:rPr>
                <w:sz w:val="22"/>
                <w:szCs w:val="22"/>
                <w:lang w:val="ro-RO" w:eastAsia="ru-RU"/>
                <w14:ligatures w14:val="standardContextual"/>
              </w:rPr>
            </w:pPr>
            <w:r w:rsidRPr="000F57AA">
              <w:rPr>
                <w:sz w:val="22"/>
                <w:szCs w:val="22"/>
                <w:lang w:val="ro-RO"/>
              </w:rPr>
              <w:t>{0100;0040}</w:t>
            </w:r>
          </w:p>
        </w:tc>
        <w:tc>
          <w:tcPr>
            <w:tcW w:w="7513" w:type="dxa"/>
          </w:tcPr>
          <w:p w14:paraId="2D1CAE53" w14:textId="74007590" w:rsidR="006E118D" w:rsidRPr="000F57AA" w:rsidRDefault="006E118D" w:rsidP="001C59CA">
            <w:pPr>
              <w:ind w:right="90" w:firstLine="456"/>
              <w:rPr>
                <w:b/>
                <w:bCs/>
                <w:sz w:val="22"/>
                <w:szCs w:val="22"/>
                <w:lang w:val="ro-RO" w:eastAsia="ru-RU"/>
                <w14:ligatures w14:val="standardContextual"/>
              </w:rPr>
            </w:pPr>
            <w:r w:rsidRPr="000F57AA">
              <w:rPr>
                <w:b/>
                <w:bCs/>
                <w:sz w:val="22"/>
                <w:szCs w:val="22"/>
                <w:lang w:val="ro-RO"/>
              </w:rPr>
              <w:t xml:space="preserve">Administraţii centrale și bănci centrale – Cuantumul ponderat la risc al expunerilor – Expuneri în cadrul abordării bazate pe modele interne de rating </w:t>
            </w:r>
          </w:p>
        </w:tc>
        <w:tc>
          <w:tcPr>
            <w:tcW w:w="992" w:type="dxa"/>
          </w:tcPr>
          <w:p w14:paraId="3D342237" w14:textId="26CE4D03" w:rsidR="006E118D" w:rsidRPr="000F57AA" w:rsidRDefault="006E118D" w:rsidP="006E118D">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0F57AA" w14:paraId="706BC836" w14:textId="77777777" w:rsidTr="0077559D">
        <w:trPr>
          <w:trHeight w:val="161"/>
        </w:trPr>
        <w:tc>
          <w:tcPr>
            <w:tcW w:w="1129" w:type="dxa"/>
          </w:tcPr>
          <w:p w14:paraId="554C2B24" w14:textId="59A7CA8A" w:rsidR="007B56AA" w:rsidRPr="000F57AA" w:rsidRDefault="007B56AA" w:rsidP="007B56AA">
            <w:pPr>
              <w:ind w:right="90"/>
              <w:rPr>
                <w:sz w:val="22"/>
                <w:szCs w:val="22"/>
                <w:lang w:val="ro-RO" w:eastAsia="ru-RU"/>
                <w14:ligatures w14:val="standardContextual"/>
              </w:rPr>
            </w:pPr>
            <w:r w:rsidRPr="000F57AA">
              <w:rPr>
                <w:sz w:val="22"/>
                <w:szCs w:val="22"/>
                <w:lang w:val="ro-RO"/>
              </w:rPr>
              <w:t>{0110;0010}</w:t>
            </w:r>
          </w:p>
        </w:tc>
        <w:tc>
          <w:tcPr>
            <w:tcW w:w="7513" w:type="dxa"/>
          </w:tcPr>
          <w:p w14:paraId="09FA9DEC" w14:textId="6ECD7EA6" w:rsidR="007B56AA" w:rsidRPr="000F57AA" w:rsidRDefault="007B56AA" w:rsidP="001C59CA">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tratate ca entităţi suverane – Valoarea expunerii pentru calcularea indicatorului efectului de levier – Expuneri în cadrul abordării standardizate </w:t>
            </w:r>
          </w:p>
        </w:tc>
        <w:tc>
          <w:tcPr>
            <w:tcW w:w="992" w:type="dxa"/>
          </w:tcPr>
          <w:p w14:paraId="661FE39C" w14:textId="31DD222A"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0F57AA" w14:paraId="46EB2137" w14:textId="77777777" w:rsidTr="0077559D">
        <w:trPr>
          <w:trHeight w:val="161"/>
        </w:trPr>
        <w:tc>
          <w:tcPr>
            <w:tcW w:w="1129" w:type="dxa"/>
          </w:tcPr>
          <w:p w14:paraId="718A2A56" w14:textId="6B59EAA1" w:rsidR="007B56AA" w:rsidRPr="000F57AA" w:rsidRDefault="007B56AA" w:rsidP="007B56AA">
            <w:pPr>
              <w:ind w:right="90"/>
              <w:rPr>
                <w:sz w:val="22"/>
                <w:szCs w:val="22"/>
                <w:lang w:val="ro-RO" w:eastAsia="ru-RU"/>
                <w14:ligatures w14:val="standardContextual"/>
              </w:rPr>
            </w:pPr>
            <w:r w:rsidRPr="000F57AA">
              <w:rPr>
                <w:sz w:val="22"/>
                <w:szCs w:val="22"/>
                <w:lang w:val="ro-RO"/>
              </w:rPr>
              <w:t>{0110;0020}</w:t>
            </w:r>
          </w:p>
        </w:tc>
        <w:tc>
          <w:tcPr>
            <w:tcW w:w="7513" w:type="dxa"/>
          </w:tcPr>
          <w:p w14:paraId="5F68E1BB" w14:textId="386338A4" w:rsidR="007B56AA" w:rsidRPr="000F57AA" w:rsidRDefault="007B56AA" w:rsidP="001C59CA">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tratate ca entităţi suverane – Valoarea expunerii pentru calcularea indicatorului efectului de levier – Expuneri în cadrul abordării bazate pe modele interne de rating </w:t>
            </w:r>
          </w:p>
        </w:tc>
        <w:tc>
          <w:tcPr>
            <w:tcW w:w="992" w:type="dxa"/>
          </w:tcPr>
          <w:p w14:paraId="5C872033" w14:textId="76D676AD"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0F57AA" w14:paraId="2805E8D2" w14:textId="77777777" w:rsidTr="0077559D">
        <w:trPr>
          <w:trHeight w:val="161"/>
        </w:trPr>
        <w:tc>
          <w:tcPr>
            <w:tcW w:w="1129" w:type="dxa"/>
          </w:tcPr>
          <w:p w14:paraId="29D65124" w14:textId="09304781" w:rsidR="007B56AA" w:rsidRPr="000F57AA" w:rsidRDefault="007B56AA" w:rsidP="007B56AA">
            <w:pPr>
              <w:ind w:right="90"/>
              <w:rPr>
                <w:sz w:val="22"/>
                <w:szCs w:val="22"/>
                <w:lang w:val="ro-RO" w:eastAsia="ru-RU"/>
                <w14:ligatures w14:val="standardContextual"/>
              </w:rPr>
            </w:pPr>
            <w:r w:rsidRPr="000F57AA">
              <w:rPr>
                <w:sz w:val="22"/>
                <w:szCs w:val="22"/>
                <w:lang w:val="ro-RO"/>
              </w:rPr>
              <w:t>{0110;0030}</w:t>
            </w:r>
          </w:p>
        </w:tc>
        <w:tc>
          <w:tcPr>
            <w:tcW w:w="7513" w:type="dxa"/>
          </w:tcPr>
          <w:p w14:paraId="12A5EFE7" w14:textId="0AB6373B" w:rsidR="007B56AA" w:rsidRPr="000F57AA" w:rsidRDefault="007B56AA" w:rsidP="001C59CA">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tratate ca entităţi suverane – Cuantumul ponderat la risc al expunerilor – Expuneri în cadrul abordării standardizate </w:t>
            </w:r>
          </w:p>
        </w:tc>
        <w:tc>
          <w:tcPr>
            <w:tcW w:w="992" w:type="dxa"/>
          </w:tcPr>
          <w:p w14:paraId="1DF3AB78" w14:textId="1C93BFBD"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0F57AA" w14:paraId="2AC4953B" w14:textId="77777777" w:rsidTr="0077559D">
        <w:trPr>
          <w:trHeight w:val="161"/>
        </w:trPr>
        <w:tc>
          <w:tcPr>
            <w:tcW w:w="1129" w:type="dxa"/>
          </w:tcPr>
          <w:p w14:paraId="34822755" w14:textId="3647A865" w:rsidR="007B56AA" w:rsidRPr="000F57AA" w:rsidRDefault="007B56AA" w:rsidP="007B56AA">
            <w:pPr>
              <w:ind w:right="90"/>
              <w:rPr>
                <w:sz w:val="22"/>
                <w:szCs w:val="22"/>
                <w:lang w:val="ro-RO" w:eastAsia="ru-RU"/>
                <w14:ligatures w14:val="standardContextual"/>
              </w:rPr>
            </w:pPr>
            <w:r w:rsidRPr="000F57AA">
              <w:rPr>
                <w:sz w:val="22"/>
                <w:szCs w:val="22"/>
                <w:lang w:val="ro-RO"/>
              </w:rPr>
              <w:t>{0110;0040}</w:t>
            </w:r>
          </w:p>
        </w:tc>
        <w:tc>
          <w:tcPr>
            <w:tcW w:w="7513" w:type="dxa"/>
          </w:tcPr>
          <w:p w14:paraId="614D784D" w14:textId="635E7FD9" w:rsidR="007B56AA" w:rsidRPr="000F57AA" w:rsidRDefault="007B56AA" w:rsidP="001C59CA">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tratate ca entităţi suverane – Cuantumul ponderat la risc al expunerilor – Expuneri în cadrul abordării bazate pe modele interne de rating </w:t>
            </w:r>
          </w:p>
        </w:tc>
        <w:tc>
          <w:tcPr>
            <w:tcW w:w="992" w:type="dxa"/>
          </w:tcPr>
          <w:p w14:paraId="002BC8D7" w14:textId="304BB4A9"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A05A6A" w14:paraId="226E301A" w14:textId="77777777" w:rsidTr="0077559D">
        <w:trPr>
          <w:trHeight w:val="161"/>
        </w:trPr>
        <w:tc>
          <w:tcPr>
            <w:tcW w:w="1129" w:type="dxa"/>
          </w:tcPr>
          <w:p w14:paraId="49D11167" w14:textId="498CFF97" w:rsidR="007B56AA" w:rsidRPr="000F57AA" w:rsidRDefault="007B56AA" w:rsidP="007B56AA">
            <w:pPr>
              <w:ind w:right="90"/>
              <w:rPr>
                <w:sz w:val="22"/>
                <w:szCs w:val="22"/>
                <w:lang w:val="ro-RO" w:eastAsia="ru-RU"/>
                <w14:ligatures w14:val="standardContextual"/>
              </w:rPr>
            </w:pPr>
            <w:r w:rsidRPr="000F57AA">
              <w:rPr>
                <w:sz w:val="22"/>
                <w:szCs w:val="22"/>
                <w:lang w:val="ro-RO"/>
              </w:rPr>
              <w:t>{0120;0010}</w:t>
            </w:r>
          </w:p>
        </w:tc>
        <w:tc>
          <w:tcPr>
            <w:tcW w:w="8505" w:type="dxa"/>
            <w:gridSpan w:val="2"/>
          </w:tcPr>
          <w:p w14:paraId="032E4E05" w14:textId="77777777" w:rsidR="001C59CA" w:rsidRPr="000F57AA" w:rsidRDefault="007B56AA" w:rsidP="001C59CA">
            <w:pPr>
              <w:ind w:right="90" w:firstLine="456"/>
              <w:rPr>
                <w:b/>
                <w:bCs/>
                <w:sz w:val="22"/>
                <w:szCs w:val="22"/>
                <w:lang w:val="ro-RO"/>
              </w:rPr>
            </w:pPr>
            <w:r w:rsidRPr="000F57AA">
              <w:rPr>
                <w:b/>
                <w:bCs/>
                <w:sz w:val="22"/>
                <w:szCs w:val="22"/>
                <w:lang w:val="ro-RO"/>
              </w:rPr>
              <w:t xml:space="preserve">Bănci de dezvoltare multilaterală și organizaţii internaţionale tratate ca entităţi suverane – Valoarea expunerii pentru calcularea indicatorului efectului de levier – Expuneri în cadrul abordării standardizate </w:t>
            </w:r>
          </w:p>
          <w:p w14:paraId="41361F0B" w14:textId="061232AA" w:rsidR="007B56AA" w:rsidRPr="000F57AA" w:rsidRDefault="007B56AA" w:rsidP="001C59CA">
            <w:pPr>
              <w:ind w:right="90" w:firstLine="456"/>
              <w:rPr>
                <w:sz w:val="22"/>
                <w:szCs w:val="22"/>
                <w:lang w:val="ro-RO"/>
              </w:rPr>
            </w:pPr>
            <w:r w:rsidRPr="000F57AA">
              <w:rPr>
                <w:sz w:val="22"/>
                <w:szCs w:val="22"/>
                <w:lang w:val="ro-RO"/>
              </w:rPr>
              <w:lastRenderedPageBreak/>
              <w:t xml:space="preserve">Valoarea expunerii pentru calcularea indicatorului efectului de levier al activelor care reprezintă expuneri faţă de bănci de dezvoltare multilaterală și organizaţii internaţionale în cadrul abordării standardizate, astfel cum sunt prevăzute la pct.46 și la pct.47 din Regulamentul nr.111/2018. </w:t>
            </w:r>
          </w:p>
          <w:p w14:paraId="749565C5" w14:textId="5451D079" w:rsidR="007B56AA" w:rsidRPr="000F57AA" w:rsidRDefault="007B56AA" w:rsidP="001C59CA">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B56AA" w:rsidRPr="000F57AA" w14:paraId="412C0CDC" w14:textId="77777777" w:rsidTr="0077559D">
        <w:trPr>
          <w:trHeight w:val="161"/>
        </w:trPr>
        <w:tc>
          <w:tcPr>
            <w:tcW w:w="1129" w:type="dxa"/>
          </w:tcPr>
          <w:p w14:paraId="512845B1" w14:textId="67C4981C" w:rsidR="007B56AA" w:rsidRPr="000F57AA" w:rsidRDefault="007B56AA" w:rsidP="007B56AA">
            <w:pPr>
              <w:ind w:right="90"/>
              <w:rPr>
                <w:sz w:val="22"/>
                <w:szCs w:val="22"/>
                <w:lang w:val="ro-RO" w:eastAsia="ru-RU"/>
                <w14:ligatures w14:val="standardContextual"/>
              </w:rPr>
            </w:pPr>
            <w:r w:rsidRPr="000F57AA">
              <w:rPr>
                <w:sz w:val="22"/>
                <w:szCs w:val="22"/>
                <w:lang w:val="ro-RO"/>
              </w:rPr>
              <w:lastRenderedPageBreak/>
              <w:t>{0120;0020}</w:t>
            </w:r>
          </w:p>
        </w:tc>
        <w:tc>
          <w:tcPr>
            <w:tcW w:w="7513" w:type="dxa"/>
          </w:tcPr>
          <w:p w14:paraId="6ABDB657" w14:textId="4E775B9F" w:rsidR="007B56AA" w:rsidRPr="000F57AA" w:rsidRDefault="007B56AA" w:rsidP="001C59CA">
            <w:pPr>
              <w:ind w:right="90" w:firstLine="456"/>
              <w:rPr>
                <w:b/>
                <w:bCs/>
                <w:sz w:val="22"/>
                <w:szCs w:val="22"/>
                <w:lang w:val="ro-RO" w:eastAsia="ru-RU"/>
                <w14:ligatures w14:val="standardContextual"/>
              </w:rPr>
            </w:pPr>
            <w:r w:rsidRPr="000F57AA">
              <w:rPr>
                <w:b/>
                <w:bCs/>
                <w:sz w:val="22"/>
                <w:szCs w:val="22"/>
                <w:lang w:val="ro-RO"/>
              </w:rPr>
              <w:t xml:space="preserve">Bănci de dezvoltare multilaterală și organizaţii internaţionale tratate ca entităţi suverane – Valoarea expunerii pentru calcularea indicatorului efectului de levier – Expuneri în cadrul abordării bazate pe modele interne de rating </w:t>
            </w:r>
          </w:p>
        </w:tc>
        <w:tc>
          <w:tcPr>
            <w:tcW w:w="992" w:type="dxa"/>
          </w:tcPr>
          <w:p w14:paraId="11067E68" w14:textId="6C95EB78" w:rsidR="007B56AA" w:rsidRPr="000F57AA" w:rsidRDefault="007B56AA" w:rsidP="001C59C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A05A6A" w14:paraId="0F1C9338" w14:textId="77777777" w:rsidTr="0077559D">
        <w:trPr>
          <w:trHeight w:val="161"/>
        </w:trPr>
        <w:tc>
          <w:tcPr>
            <w:tcW w:w="1129" w:type="dxa"/>
          </w:tcPr>
          <w:p w14:paraId="6438DA28" w14:textId="1F6CF478" w:rsidR="007B56AA" w:rsidRPr="000F57AA" w:rsidRDefault="007B56AA" w:rsidP="007B56AA">
            <w:pPr>
              <w:ind w:right="90"/>
              <w:rPr>
                <w:sz w:val="22"/>
                <w:szCs w:val="22"/>
                <w:lang w:val="ro-RO" w:eastAsia="ru-RU"/>
                <w14:ligatures w14:val="standardContextual"/>
              </w:rPr>
            </w:pPr>
            <w:r w:rsidRPr="000F57AA">
              <w:rPr>
                <w:sz w:val="22"/>
                <w:szCs w:val="22"/>
                <w:lang w:val="ro-RO"/>
              </w:rPr>
              <w:t>{0120;0030}</w:t>
            </w:r>
          </w:p>
        </w:tc>
        <w:tc>
          <w:tcPr>
            <w:tcW w:w="8505" w:type="dxa"/>
            <w:gridSpan w:val="2"/>
          </w:tcPr>
          <w:p w14:paraId="31EB7311" w14:textId="77777777" w:rsidR="007B56AA" w:rsidRPr="000F57AA" w:rsidRDefault="007B56AA" w:rsidP="00DB415B">
            <w:pPr>
              <w:ind w:right="90" w:firstLine="456"/>
              <w:rPr>
                <w:b/>
                <w:bCs/>
                <w:sz w:val="22"/>
                <w:szCs w:val="22"/>
                <w:lang w:val="ro-RO"/>
              </w:rPr>
            </w:pPr>
            <w:r w:rsidRPr="000F57AA">
              <w:rPr>
                <w:b/>
                <w:bCs/>
                <w:sz w:val="22"/>
                <w:szCs w:val="22"/>
                <w:lang w:val="ro-RO"/>
              </w:rPr>
              <w:t xml:space="preserve">Bănci de dezvoltare multilaterală și organizaţii internaţionale tratate ca entităţi suverane – Cuantumul ponderat la risc al expunerilor – Expuneri în cadrul abordării standardizate </w:t>
            </w:r>
          </w:p>
          <w:p w14:paraId="30AA13FD" w14:textId="77777777" w:rsidR="007B56AA" w:rsidRPr="000F57AA" w:rsidRDefault="007B56AA" w:rsidP="00DB415B">
            <w:pPr>
              <w:ind w:right="90" w:firstLine="456"/>
              <w:rPr>
                <w:sz w:val="22"/>
                <w:szCs w:val="22"/>
                <w:lang w:val="ro-RO"/>
              </w:rPr>
            </w:pPr>
            <w:r w:rsidRPr="000F57AA">
              <w:rPr>
                <w:sz w:val="22"/>
                <w:szCs w:val="22"/>
                <w:lang w:val="ro-RO"/>
              </w:rPr>
              <w:t xml:space="preserve">Cuantumul ponderat la risc al expunerii activelor care reprezintă expuneri faţă de bănci de dezvoltare multilaterală și organizaţii internaţionale în cadrul abordării standardizate, astfel cum sunt prevăzute la pct.46 și la pct.47 din Regulamentul nr.111/2018. </w:t>
            </w:r>
          </w:p>
          <w:p w14:paraId="74161B27" w14:textId="07CDAF53" w:rsidR="007B56AA" w:rsidRPr="000F57AA" w:rsidRDefault="007B56AA" w:rsidP="007B56AA">
            <w:pPr>
              <w:ind w:right="90" w:firstLine="530"/>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B56AA" w:rsidRPr="000F57AA" w14:paraId="5A4534B3" w14:textId="77777777" w:rsidTr="0077559D">
        <w:trPr>
          <w:trHeight w:val="161"/>
        </w:trPr>
        <w:tc>
          <w:tcPr>
            <w:tcW w:w="1129" w:type="dxa"/>
          </w:tcPr>
          <w:p w14:paraId="75E3AC5A" w14:textId="776DCE42" w:rsidR="007B56AA" w:rsidRPr="000F57AA" w:rsidRDefault="007B56AA" w:rsidP="007B56AA">
            <w:pPr>
              <w:ind w:right="90"/>
              <w:rPr>
                <w:sz w:val="22"/>
                <w:szCs w:val="22"/>
                <w:lang w:val="ro-RO" w:eastAsia="ru-RU"/>
                <w14:ligatures w14:val="standardContextual"/>
              </w:rPr>
            </w:pPr>
            <w:r w:rsidRPr="000F57AA">
              <w:rPr>
                <w:sz w:val="22"/>
                <w:szCs w:val="22"/>
                <w:lang w:val="ro-RO"/>
              </w:rPr>
              <w:t>{1020;0040}</w:t>
            </w:r>
          </w:p>
        </w:tc>
        <w:tc>
          <w:tcPr>
            <w:tcW w:w="7513" w:type="dxa"/>
          </w:tcPr>
          <w:p w14:paraId="19EF1ED3" w14:textId="603E8BD2" w:rsidR="007B56AA" w:rsidRPr="000F57AA" w:rsidRDefault="007B56AA" w:rsidP="00DB415B">
            <w:pPr>
              <w:ind w:right="90" w:firstLine="456"/>
              <w:rPr>
                <w:b/>
                <w:bCs/>
                <w:sz w:val="22"/>
                <w:szCs w:val="22"/>
                <w:lang w:val="ro-RO" w:eastAsia="ru-RU"/>
                <w14:ligatures w14:val="standardContextual"/>
              </w:rPr>
            </w:pPr>
            <w:r w:rsidRPr="000F57AA">
              <w:rPr>
                <w:b/>
                <w:bCs/>
                <w:sz w:val="22"/>
                <w:szCs w:val="22"/>
                <w:lang w:val="ro-RO"/>
              </w:rPr>
              <w:t xml:space="preserve">Bănci de dezvoltare multilaterală și organizaţii internaţionale tratate ca entităţi suverane – Cuantumul ponderat la risc al expunerilor – Expuneri în cadrul abordării bazate pe modele interne de rating </w:t>
            </w:r>
          </w:p>
        </w:tc>
        <w:tc>
          <w:tcPr>
            <w:tcW w:w="992" w:type="dxa"/>
          </w:tcPr>
          <w:p w14:paraId="3A57EDA9" w14:textId="16212A0F"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A05A6A" w14:paraId="02634B5E" w14:textId="77777777" w:rsidTr="0077559D">
        <w:trPr>
          <w:trHeight w:val="161"/>
        </w:trPr>
        <w:tc>
          <w:tcPr>
            <w:tcW w:w="1129" w:type="dxa"/>
          </w:tcPr>
          <w:p w14:paraId="587D03E5" w14:textId="07EAA06E" w:rsidR="007B56AA" w:rsidRPr="000F57AA" w:rsidRDefault="007B56AA" w:rsidP="007B56AA">
            <w:pPr>
              <w:ind w:right="90"/>
              <w:rPr>
                <w:sz w:val="22"/>
                <w:szCs w:val="22"/>
                <w:lang w:val="ro-RO" w:eastAsia="ru-RU"/>
                <w14:ligatures w14:val="standardContextual"/>
              </w:rPr>
            </w:pPr>
            <w:r w:rsidRPr="000F57AA">
              <w:rPr>
                <w:sz w:val="22"/>
                <w:szCs w:val="22"/>
                <w:lang w:val="ro-RO"/>
              </w:rPr>
              <w:t>{0130;0010}</w:t>
            </w:r>
          </w:p>
        </w:tc>
        <w:tc>
          <w:tcPr>
            <w:tcW w:w="8505" w:type="dxa"/>
            <w:gridSpan w:val="2"/>
          </w:tcPr>
          <w:p w14:paraId="4F194DDD" w14:textId="77777777" w:rsidR="007B56AA" w:rsidRPr="000F57AA" w:rsidRDefault="007B56AA" w:rsidP="00DB415B">
            <w:pPr>
              <w:ind w:right="90" w:firstLine="456"/>
              <w:rPr>
                <w:b/>
                <w:bCs/>
                <w:sz w:val="22"/>
                <w:szCs w:val="22"/>
                <w:lang w:val="ro-RO"/>
              </w:rPr>
            </w:pPr>
            <w:r w:rsidRPr="000F57AA">
              <w:rPr>
                <w:b/>
                <w:bCs/>
                <w:sz w:val="22"/>
                <w:szCs w:val="22"/>
                <w:lang w:val="ro-RO"/>
              </w:rPr>
              <w:t xml:space="preserve">Entităţi din sectorul public tratate ca entităţi suverane – Valoarea expunerii pentru calcularea indicatorului efectului de levier – Expuneri în cadrul abordării standardizate </w:t>
            </w:r>
          </w:p>
          <w:p w14:paraId="18CCF014" w14:textId="77777777" w:rsidR="007B56AA" w:rsidRPr="000F57AA" w:rsidRDefault="007B56AA"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entităţi din sectorul public în cadrul abordării standardizate, astfel cum sunt prevăzute la pct.42 din Regulamentul nr.111/2018. </w:t>
            </w:r>
          </w:p>
          <w:p w14:paraId="4F0B5FB4" w14:textId="0922EC1C" w:rsidR="007B56AA" w:rsidRPr="000F57AA" w:rsidRDefault="007B56A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B56AA" w:rsidRPr="000F57AA" w14:paraId="0582D48A" w14:textId="77777777" w:rsidTr="0077559D">
        <w:trPr>
          <w:trHeight w:val="161"/>
        </w:trPr>
        <w:tc>
          <w:tcPr>
            <w:tcW w:w="1129" w:type="dxa"/>
          </w:tcPr>
          <w:p w14:paraId="5944757B" w14:textId="343F4095" w:rsidR="007B56AA" w:rsidRPr="000F57AA" w:rsidRDefault="007B56AA" w:rsidP="007B56AA">
            <w:pPr>
              <w:ind w:right="90"/>
              <w:rPr>
                <w:sz w:val="22"/>
                <w:szCs w:val="22"/>
                <w:lang w:val="ro-RO" w:eastAsia="ru-RU"/>
                <w14:ligatures w14:val="standardContextual"/>
              </w:rPr>
            </w:pPr>
            <w:r w:rsidRPr="000F57AA">
              <w:rPr>
                <w:sz w:val="22"/>
                <w:szCs w:val="22"/>
                <w:lang w:val="ro-RO"/>
              </w:rPr>
              <w:t>{0130;0020}</w:t>
            </w:r>
          </w:p>
        </w:tc>
        <w:tc>
          <w:tcPr>
            <w:tcW w:w="7513" w:type="dxa"/>
          </w:tcPr>
          <w:p w14:paraId="2493CA00" w14:textId="3F20AA6F" w:rsidR="007B56AA" w:rsidRPr="000F57AA" w:rsidRDefault="007B56AA" w:rsidP="00DB415B">
            <w:pPr>
              <w:ind w:right="90" w:firstLine="456"/>
              <w:rPr>
                <w:b/>
                <w:bCs/>
                <w:sz w:val="22"/>
                <w:szCs w:val="22"/>
                <w:lang w:val="ro-RO" w:eastAsia="ru-RU"/>
                <w14:ligatures w14:val="standardContextual"/>
              </w:rPr>
            </w:pPr>
            <w:r w:rsidRPr="000F57AA">
              <w:rPr>
                <w:b/>
                <w:bCs/>
                <w:sz w:val="22"/>
                <w:szCs w:val="22"/>
                <w:lang w:val="ro-RO"/>
              </w:rPr>
              <w:t xml:space="preserve">Entităţi din sectorul public tratate ca entităţi suverane – Valoarea expunerii pentru calcularea indicatorului efectului de levier – Expuneri în cadrul abordării bazate pe modele interne de rating </w:t>
            </w:r>
          </w:p>
        </w:tc>
        <w:tc>
          <w:tcPr>
            <w:tcW w:w="992" w:type="dxa"/>
          </w:tcPr>
          <w:p w14:paraId="325BC434" w14:textId="11574B08"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A05A6A" w14:paraId="4FE74267" w14:textId="77777777" w:rsidTr="0077559D">
        <w:trPr>
          <w:trHeight w:val="161"/>
        </w:trPr>
        <w:tc>
          <w:tcPr>
            <w:tcW w:w="1129" w:type="dxa"/>
          </w:tcPr>
          <w:p w14:paraId="351EE174" w14:textId="3F638EBF" w:rsidR="007B56AA" w:rsidRPr="000F57AA" w:rsidRDefault="007B56AA" w:rsidP="007B56AA">
            <w:pPr>
              <w:ind w:right="90"/>
              <w:rPr>
                <w:sz w:val="22"/>
                <w:szCs w:val="22"/>
                <w:lang w:val="ro-RO" w:eastAsia="ru-RU"/>
                <w14:ligatures w14:val="standardContextual"/>
              </w:rPr>
            </w:pPr>
            <w:r w:rsidRPr="000F57AA">
              <w:rPr>
                <w:sz w:val="22"/>
                <w:szCs w:val="22"/>
                <w:lang w:val="ro-RO"/>
              </w:rPr>
              <w:t>{0130;0030}</w:t>
            </w:r>
          </w:p>
        </w:tc>
        <w:tc>
          <w:tcPr>
            <w:tcW w:w="8505" w:type="dxa"/>
            <w:gridSpan w:val="2"/>
          </w:tcPr>
          <w:p w14:paraId="69680196" w14:textId="77777777" w:rsidR="007B56AA" w:rsidRPr="000F57AA" w:rsidRDefault="007B56AA" w:rsidP="00DB415B">
            <w:pPr>
              <w:ind w:right="90" w:firstLine="456"/>
              <w:rPr>
                <w:b/>
                <w:bCs/>
                <w:sz w:val="22"/>
                <w:szCs w:val="22"/>
                <w:lang w:val="ro-RO"/>
              </w:rPr>
            </w:pPr>
            <w:r w:rsidRPr="000F57AA">
              <w:rPr>
                <w:b/>
                <w:bCs/>
                <w:sz w:val="22"/>
                <w:szCs w:val="22"/>
                <w:lang w:val="ro-RO"/>
              </w:rPr>
              <w:t xml:space="preserve">Entităţi din sectorul public tratate ca entităţi suverane – Cuantumul ponderat la risc al expunerilor – Expuneri în cadrul abordării standardizate </w:t>
            </w:r>
          </w:p>
          <w:p w14:paraId="5611CD47" w14:textId="77777777" w:rsidR="007B56AA" w:rsidRPr="000F57AA" w:rsidRDefault="007B56AA" w:rsidP="00DB415B">
            <w:pPr>
              <w:ind w:right="90" w:firstLine="456"/>
              <w:rPr>
                <w:sz w:val="22"/>
                <w:szCs w:val="22"/>
                <w:lang w:val="ro-RO"/>
              </w:rPr>
            </w:pPr>
            <w:r w:rsidRPr="000F57AA">
              <w:rPr>
                <w:sz w:val="22"/>
                <w:szCs w:val="22"/>
                <w:lang w:val="ro-RO"/>
              </w:rPr>
              <w:t xml:space="preserve">Cuantumul ponderat la risc al expunerii activelor care reprezintă expuneri faţă de entităţi din sectorul public în cadrul abordării standardizate, astfel cum sunt prevăzute la pct.42 din Regulamentul nr.111/2018. </w:t>
            </w:r>
          </w:p>
          <w:p w14:paraId="7CBBE904" w14:textId="03FD0B51" w:rsidR="007B56AA" w:rsidRPr="000F57AA" w:rsidRDefault="007B56A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B56AA" w:rsidRPr="000F57AA" w14:paraId="32958176" w14:textId="77777777" w:rsidTr="0077559D">
        <w:trPr>
          <w:trHeight w:val="161"/>
        </w:trPr>
        <w:tc>
          <w:tcPr>
            <w:tcW w:w="1129" w:type="dxa"/>
          </w:tcPr>
          <w:p w14:paraId="11DB8AD6" w14:textId="3E0CC108" w:rsidR="007B56AA" w:rsidRPr="000F57AA" w:rsidRDefault="007B56AA" w:rsidP="007B56AA">
            <w:pPr>
              <w:ind w:right="90"/>
              <w:rPr>
                <w:sz w:val="22"/>
                <w:szCs w:val="22"/>
                <w:lang w:val="ro-RO" w:eastAsia="ru-RU"/>
                <w14:ligatures w14:val="standardContextual"/>
              </w:rPr>
            </w:pPr>
            <w:r w:rsidRPr="000F57AA">
              <w:rPr>
                <w:sz w:val="22"/>
                <w:szCs w:val="22"/>
                <w:lang w:val="ro-RO"/>
              </w:rPr>
              <w:t>{0130;0040}</w:t>
            </w:r>
          </w:p>
        </w:tc>
        <w:tc>
          <w:tcPr>
            <w:tcW w:w="7513" w:type="dxa"/>
          </w:tcPr>
          <w:p w14:paraId="0476C892" w14:textId="1A6E2000" w:rsidR="007B56AA" w:rsidRPr="000F57AA" w:rsidRDefault="007B56AA" w:rsidP="00DB415B">
            <w:pPr>
              <w:ind w:right="90" w:firstLine="456"/>
              <w:rPr>
                <w:b/>
                <w:bCs/>
                <w:sz w:val="22"/>
                <w:szCs w:val="22"/>
                <w:lang w:val="ro-RO" w:eastAsia="ru-RU"/>
                <w14:ligatures w14:val="standardContextual"/>
              </w:rPr>
            </w:pPr>
            <w:r w:rsidRPr="000F57AA">
              <w:rPr>
                <w:b/>
                <w:bCs/>
                <w:sz w:val="22"/>
                <w:szCs w:val="22"/>
                <w:lang w:val="ro-RO"/>
              </w:rPr>
              <w:t xml:space="preserve">Entităţi din sectorul public tratate ca entităţi suverane – Cuantumul ponderat la risc al expunerilor – Expuneri în cadrul abordării bazate pe modele interne de rating </w:t>
            </w:r>
          </w:p>
        </w:tc>
        <w:tc>
          <w:tcPr>
            <w:tcW w:w="992" w:type="dxa"/>
          </w:tcPr>
          <w:p w14:paraId="2E69F980" w14:textId="4FBCD617" w:rsidR="007B56AA" w:rsidRPr="000F57AA" w:rsidRDefault="007B56AA" w:rsidP="007B56A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B56AA" w:rsidRPr="00A05A6A" w14:paraId="6FE72B5C" w14:textId="77777777" w:rsidTr="0077559D">
        <w:trPr>
          <w:trHeight w:val="161"/>
        </w:trPr>
        <w:tc>
          <w:tcPr>
            <w:tcW w:w="1129" w:type="dxa"/>
          </w:tcPr>
          <w:p w14:paraId="288BCD05" w14:textId="1C52425E" w:rsidR="007B56AA" w:rsidRPr="000F57AA" w:rsidRDefault="007B56AA" w:rsidP="007B56AA">
            <w:pPr>
              <w:ind w:right="90"/>
              <w:rPr>
                <w:sz w:val="22"/>
                <w:szCs w:val="22"/>
                <w:lang w:val="ro-RO" w:eastAsia="ru-RU"/>
                <w14:ligatures w14:val="standardContextual"/>
              </w:rPr>
            </w:pPr>
            <w:r w:rsidRPr="000F57AA">
              <w:rPr>
                <w:sz w:val="22"/>
                <w:szCs w:val="22"/>
                <w:lang w:val="ro-RO"/>
              </w:rPr>
              <w:t>{0140;0010}</w:t>
            </w:r>
          </w:p>
        </w:tc>
        <w:tc>
          <w:tcPr>
            <w:tcW w:w="8505" w:type="dxa"/>
            <w:gridSpan w:val="2"/>
          </w:tcPr>
          <w:p w14:paraId="1AC8C341" w14:textId="77777777" w:rsidR="007B56AA" w:rsidRPr="000F57AA" w:rsidRDefault="007B56AA" w:rsidP="00DB415B">
            <w:pPr>
              <w:ind w:right="90" w:firstLine="456"/>
              <w:rPr>
                <w:b/>
                <w:bCs/>
                <w:sz w:val="22"/>
                <w:szCs w:val="22"/>
                <w:lang w:val="ro-RO"/>
              </w:rPr>
            </w:pPr>
            <w:r w:rsidRPr="000F57AA">
              <w:rPr>
                <w:b/>
                <w:bCs/>
                <w:sz w:val="22"/>
                <w:szCs w:val="22"/>
                <w:lang w:val="ro-RO"/>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standardizate </w:t>
            </w:r>
          </w:p>
          <w:p w14:paraId="22F74372" w14:textId="77777777" w:rsidR="007B56AA" w:rsidRPr="000F57AA" w:rsidRDefault="007B56AA" w:rsidP="00DB415B">
            <w:pPr>
              <w:ind w:right="90" w:firstLine="456"/>
              <w:rPr>
                <w:sz w:val="22"/>
                <w:szCs w:val="22"/>
                <w:lang w:val="ro-RO"/>
              </w:rPr>
            </w:pPr>
            <w:r w:rsidRPr="000F57AA">
              <w:rPr>
                <w:sz w:val="22"/>
                <w:szCs w:val="22"/>
                <w:lang w:val="ro-RO"/>
              </w:rPr>
              <w:t xml:space="preserve">Suma celulelor de la {0150,0010} până la {0170,0010}. </w:t>
            </w:r>
          </w:p>
          <w:p w14:paraId="1644FE94" w14:textId="02E3340D" w:rsidR="007B56AA" w:rsidRPr="000F57AA" w:rsidRDefault="007B56A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B8098E" w:rsidRPr="000F57AA" w14:paraId="62D117EE" w14:textId="77777777" w:rsidTr="0077559D">
        <w:trPr>
          <w:trHeight w:val="161"/>
        </w:trPr>
        <w:tc>
          <w:tcPr>
            <w:tcW w:w="1129" w:type="dxa"/>
          </w:tcPr>
          <w:p w14:paraId="17C021F3" w14:textId="3B2E82B9" w:rsidR="00B8098E" w:rsidRPr="000F57AA" w:rsidRDefault="00B8098E" w:rsidP="00B8098E">
            <w:pPr>
              <w:ind w:right="90"/>
              <w:rPr>
                <w:sz w:val="22"/>
                <w:szCs w:val="22"/>
                <w:lang w:val="ro-RO" w:eastAsia="ru-RU"/>
                <w14:ligatures w14:val="standardContextual"/>
              </w:rPr>
            </w:pPr>
            <w:r w:rsidRPr="000F57AA">
              <w:rPr>
                <w:sz w:val="22"/>
                <w:szCs w:val="22"/>
                <w:lang w:val="ro-RO"/>
              </w:rPr>
              <w:t>{0140;0020}</w:t>
            </w:r>
          </w:p>
        </w:tc>
        <w:tc>
          <w:tcPr>
            <w:tcW w:w="7513" w:type="dxa"/>
          </w:tcPr>
          <w:p w14:paraId="6D87213F" w14:textId="5E375742" w:rsidR="00B8098E" w:rsidRPr="000F57AA" w:rsidRDefault="00B8098E" w:rsidP="00DB415B">
            <w:pPr>
              <w:ind w:right="90" w:firstLine="456"/>
              <w:rPr>
                <w:b/>
                <w:bCs/>
                <w:sz w:val="22"/>
                <w:szCs w:val="22"/>
                <w:lang w:val="ro-RO" w:eastAsia="ru-RU"/>
                <w14:ligatures w14:val="standardContextual"/>
              </w:rPr>
            </w:pPr>
            <w:r w:rsidRPr="000F57AA">
              <w:rPr>
                <w:b/>
                <w:bCs/>
                <w:sz w:val="22"/>
                <w:szCs w:val="22"/>
                <w:lang w:val="ro-RO"/>
              </w:rPr>
              <w:t xml:space="preserve">Expuneri faţă de administraţii regionale, bănci de dezvoltare multilaterală, organizaţii internaţionale și entităţi din sectorul public care nu sunt tratate ca entităţi suverane – Valoarea expunerii pentru calcularea indicatorului efectului de levier – Expuneri în cadrul abordării bazate pe modele interne de rating </w:t>
            </w:r>
          </w:p>
        </w:tc>
        <w:tc>
          <w:tcPr>
            <w:tcW w:w="992" w:type="dxa"/>
          </w:tcPr>
          <w:p w14:paraId="40E31608" w14:textId="6F3CAC54" w:rsidR="00B8098E" w:rsidRPr="000F57AA" w:rsidRDefault="00B8098E"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8098E" w:rsidRPr="00A05A6A" w14:paraId="011C575B" w14:textId="77777777" w:rsidTr="0077559D">
        <w:trPr>
          <w:trHeight w:val="161"/>
        </w:trPr>
        <w:tc>
          <w:tcPr>
            <w:tcW w:w="1129" w:type="dxa"/>
          </w:tcPr>
          <w:p w14:paraId="1617A50C" w14:textId="1425AD36" w:rsidR="00B8098E" w:rsidRPr="000F57AA" w:rsidRDefault="00B8098E" w:rsidP="00B8098E">
            <w:pPr>
              <w:ind w:right="90"/>
              <w:rPr>
                <w:sz w:val="22"/>
                <w:szCs w:val="22"/>
                <w:lang w:val="ro-RO" w:eastAsia="ru-RU"/>
                <w14:ligatures w14:val="standardContextual"/>
              </w:rPr>
            </w:pPr>
            <w:r w:rsidRPr="000F57AA">
              <w:rPr>
                <w:sz w:val="22"/>
                <w:szCs w:val="22"/>
                <w:lang w:val="ro-RO"/>
              </w:rPr>
              <w:t>{0140;0030}</w:t>
            </w:r>
          </w:p>
        </w:tc>
        <w:tc>
          <w:tcPr>
            <w:tcW w:w="8505" w:type="dxa"/>
            <w:gridSpan w:val="2"/>
          </w:tcPr>
          <w:p w14:paraId="0472A91E" w14:textId="77777777" w:rsidR="00B8098E" w:rsidRPr="000F57AA" w:rsidRDefault="00B8098E" w:rsidP="00DB415B">
            <w:pPr>
              <w:ind w:right="90" w:firstLine="456"/>
              <w:rPr>
                <w:b/>
                <w:bCs/>
                <w:sz w:val="22"/>
                <w:szCs w:val="22"/>
                <w:lang w:val="ro-RO"/>
              </w:rPr>
            </w:pPr>
            <w:r w:rsidRPr="000F57AA">
              <w:rPr>
                <w:b/>
                <w:bCs/>
                <w:sz w:val="22"/>
                <w:szCs w:val="22"/>
                <w:lang w:val="ro-RO"/>
              </w:rPr>
              <w:t xml:space="preserve">Expuneri faţă de administraţii regionale, bănci de dezvoltare multilaterală, organizaţii internaţionale și entităţi din sectorul public care nu sunt tratate ca entităţi </w:t>
            </w:r>
            <w:r w:rsidRPr="000F57AA">
              <w:rPr>
                <w:b/>
                <w:bCs/>
                <w:sz w:val="22"/>
                <w:szCs w:val="22"/>
                <w:lang w:val="ro-RO"/>
              </w:rPr>
              <w:lastRenderedPageBreak/>
              <w:t xml:space="preserve">suverane – Cuantumul ponderat la risc al expunerilor – Expuneri în cadrul abordării standardizate </w:t>
            </w:r>
          </w:p>
          <w:p w14:paraId="3DCE95BA" w14:textId="77777777" w:rsidR="00B8098E" w:rsidRPr="000F57AA" w:rsidRDefault="00B8098E" w:rsidP="00DB415B">
            <w:pPr>
              <w:ind w:right="90" w:firstLine="456"/>
              <w:rPr>
                <w:sz w:val="22"/>
                <w:szCs w:val="22"/>
                <w:lang w:val="ro-RO"/>
              </w:rPr>
            </w:pPr>
            <w:r w:rsidRPr="000F57AA">
              <w:rPr>
                <w:sz w:val="22"/>
                <w:szCs w:val="22"/>
                <w:lang w:val="ro-RO"/>
              </w:rPr>
              <w:t xml:space="preserve">Suma celulelor de la {0150,0030} până la {0170,0030}. </w:t>
            </w:r>
          </w:p>
          <w:p w14:paraId="24238119" w14:textId="3952D265" w:rsidR="00B8098E" w:rsidRPr="000F57AA" w:rsidRDefault="00B8098E"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B8098E" w:rsidRPr="000F57AA" w14:paraId="42DBF9A9" w14:textId="77777777" w:rsidTr="0077559D">
        <w:trPr>
          <w:trHeight w:val="161"/>
        </w:trPr>
        <w:tc>
          <w:tcPr>
            <w:tcW w:w="1129" w:type="dxa"/>
          </w:tcPr>
          <w:p w14:paraId="2D355733" w14:textId="66A8AB0E" w:rsidR="00B8098E" w:rsidRPr="000F57AA" w:rsidRDefault="00B8098E" w:rsidP="00B8098E">
            <w:pPr>
              <w:ind w:right="90"/>
              <w:rPr>
                <w:sz w:val="22"/>
                <w:szCs w:val="22"/>
                <w:lang w:val="ro-RO" w:eastAsia="ru-RU"/>
                <w14:ligatures w14:val="standardContextual"/>
              </w:rPr>
            </w:pPr>
            <w:r w:rsidRPr="000F57AA">
              <w:rPr>
                <w:sz w:val="22"/>
                <w:szCs w:val="22"/>
                <w:lang w:val="ro-RO"/>
              </w:rPr>
              <w:lastRenderedPageBreak/>
              <w:t>{0140;0040}</w:t>
            </w:r>
          </w:p>
        </w:tc>
        <w:tc>
          <w:tcPr>
            <w:tcW w:w="7513" w:type="dxa"/>
          </w:tcPr>
          <w:p w14:paraId="219A4DF3" w14:textId="0C1B694E" w:rsidR="00B8098E" w:rsidRPr="000F57AA" w:rsidRDefault="00B8098E" w:rsidP="00DB415B">
            <w:pPr>
              <w:ind w:right="90" w:firstLine="456"/>
              <w:rPr>
                <w:b/>
                <w:bCs/>
                <w:sz w:val="22"/>
                <w:szCs w:val="22"/>
                <w:lang w:val="ro-RO" w:eastAsia="ru-RU"/>
                <w14:ligatures w14:val="standardContextual"/>
              </w:rPr>
            </w:pPr>
            <w:r w:rsidRPr="000F57AA">
              <w:rPr>
                <w:b/>
                <w:bCs/>
                <w:sz w:val="22"/>
                <w:szCs w:val="22"/>
                <w:lang w:val="ro-RO"/>
              </w:rPr>
              <w:t xml:space="preserve">Expuneri faţă de administraţii regionale, bănci de dezvoltare multilaterală, organizaţii internaţionale și entităţi din sectorul public care nu sunt tratate ca entităţi suverane – Cuantumul ponderat la risc al expunerilor – Expuneri în cadrul abordării bazate pe modele interne de rating </w:t>
            </w:r>
          </w:p>
        </w:tc>
        <w:tc>
          <w:tcPr>
            <w:tcW w:w="992" w:type="dxa"/>
          </w:tcPr>
          <w:p w14:paraId="725F08A8" w14:textId="401877BC" w:rsidR="00B8098E" w:rsidRPr="000F57AA" w:rsidRDefault="00B8098E"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8098E" w:rsidRPr="00A05A6A" w14:paraId="2CE9BE91" w14:textId="77777777" w:rsidTr="0077559D">
        <w:trPr>
          <w:trHeight w:val="161"/>
        </w:trPr>
        <w:tc>
          <w:tcPr>
            <w:tcW w:w="1129" w:type="dxa"/>
          </w:tcPr>
          <w:p w14:paraId="0CF835AD" w14:textId="3C462D06" w:rsidR="00B8098E" w:rsidRPr="000F57AA" w:rsidRDefault="00B8098E" w:rsidP="00B8098E">
            <w:pPr>
              <w:ind w:right="90"/>
              <w:rPr>
                <w:sz w:val="22"/>
                <w:szCs w:val="22"/>
                <w:lang w:val="ro-RO" w:eastAsia="ru-RU"/>
                <w14:ligatures w14:val="standardContextual"/>
              </w:rPr>
            </w:pPr>
            <w:r w:rsidRPr="000F57AA">
              <w:rPr>
                <w:sz w:val="22"/>
                <w:szCs w:val="22"/>
                <w:lang w:val="ro-RO"/>
              </w:rPr>
              <w:t>{0150;0010}</w:t>
            </w:r>
          </w:p>
        </w:tc>
        <w:tc>
          <w:tcPr>
            <w:tcW w:w="8505" w:type="dxa"/>
            <w:gridSpan w:val="2"/>
          </w:tcPr>
          <w:p w14:paraId="6B3A20CF" w14:textId="77777777" w:rsidR="00B8098E" w:rsidRPr="000F57AA" w:rsidRDefault="00B8098E" w:rsidP="00DB415B">
            <w:pPr>
              <w:ind w:right="90" w:firstLine="456"/>
              <w:rPr>
                <w:b/>
                <w:bCs/>
                <w:sz w:val="22"/>
                <w:szCs w:val="22"/>
                <w:lang w:val="ro-RO"/>
              </w:rPr>
            </w:pPr>
            <w:r w:rsidRPr="000F57AA">
              <w:rPr>
                <w:b/>
                <w:bCs/>
                <w:sz w:val="22"/>
                <w:szCs w:val="22"/>
                <w:lang w:val="ro-RO"/>
              </w:rPr>
              <w:t xml:space="preserve">Administraţii regionale și autorităţi locale care nu sunt tratate ca entităţi suverane – Valoarea expunerii pentru calcularea indicatorului efectului de levier – Expuneri în cadrul abordării standardizate </w:t>
            </w:r>
          </w:p>
          <w:p w14:paraId="4C1ACFFA" w14:textId="7C7886B4" w:rsidR="00DB415B" w:rsidRPr="000F57AA" w:rsidRDefault="00B8098E" w:rsidP="00DB415B">
            <w:pPr>
              <w:ind w:right="90" w:firstLine="456"/>
              <w:rPr>
                <w:sz w:val="22"/>
                <w:szCs w:val="22"/>
                <w:lang w:val="ro-RO"/>
              </w:rPr>
            </w:pPr>
            <w:r w:rsidRPr="000F57AA">
              <w:rPr>
                <w:sz w:val="22"/>
                <w:szCs w:val="22"/>
                <w:lang w:val="ro-RO"/>
              </w:rPr>
              <w:t>Valoarea expunerii pentru calcularea indicatorului efectului de levier al activelor care reprezintă expuneri în cadrul abordării standardizate faţă de administraţii regionale și autorităţi locale care nu sunt tratate ca entităţi suverane, astfel cum sunt prevăzute la pct.34-35</w:t>
            </w:r>
            <w:r w:rsidR="00841B18" w:rsidRPr="000F57AA">
              <w:rPr>
                <w:sz w:val="22"/>
                <w:szCs w:val="22"/>
                <w:lang w:val="ro-RO"/>
              </w:rPr>
              <w:t xml:space="preserve"> </w:t>
            </w:r>
            <w:r w:rsidRPr="000F57AA">
              <w:rPr>
                <w:sz w:val="22"/>
                <w:szCs w:val="22"/>
                <w:lang w:val="ro-RO"/>
              </w:rPr>
              <w:t>și</w:t>
            </w:r>
            <w:r w:rsidR="00841B18" w:rsidRPr="000F57AA">
              <w:rPr>
                <w:sz w:val="22"/>
                <w:szCs w:val="22"/>
                <w:lang w:val="ro-RO"/>
              </w:rPr>
              <w:t xml:space="preserve"> </w:t>
            </w:r>
            <w:r w:rsidRPr="000F57AA">
              <w:rPr>
                <w:sz w:val="22"/>
                <w:szCs w:val="22"/>
                <w:lang w:val="ro-RO"/>
              </w:rPr>
              <w:t xml:space="preserve">pct.37 din Regulamentul nr.111/2018. </w:t>
            </w:r>
          </w:p>
          <w:p w14:paraId="292FE17A" w14:textId="5A5A0FBE" w:rsidR="00B8098E" w:rsidRPr="000F57AA" w:rsidRDefault="00B8098E"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B8098E" w:rsidRPr="000F57AA" w14:paraId="77A5658E" w14:textId="77777777" w:rsidTr="0077559D">
        <w:trPr>
          <w:trHeight w:val="161"/>
        </w:trPr>
        <w:tc>
          <w:tcPr>
            <w:tcW w:w="1129" w:type="dxa"/>
          </w:tcPr>
          <w:p w14:paraId="0DBDEE9F" w14:textId="20908836" w:rsidR="00B8098E" w:rsidRPr="000F57AA" w:rsidRDefault="00B8098E" w:rsidP="00B8098E">
            <w:pPr>
              <w:ind w:right="90"/>
              <w:rPr>
                <w:sz w:val="22"/>
                <w:szCs w:val="22"/>
                <w:lang w:val="ro-RO" w:eastAsia="ru-RU"/>
                <w14:ligatures w14:val="standardContextual"/>
              </w:rPr>
            </w:pPr>
            <w:r w:rsidRPr="000F57AA">
              <w:rPr>
                <w:sz w:val="22"/>
                <w:szCs w:val="22"/>
                <w:lang w:val="ro-RO"/>
              </w:rPr>
              <w:t>{0150;0020}</w:t>
            </w:r>
          </w:p>
        </w:tc>
        <w:tc>
          <w:tcPr>
            <w:tcW w:w="7513" w:type="dxa"/>
          </w:tcPr>
          <w:p w14:paraId="78B02C09" w14:textId="7A509A38" w:rsidR="00B8098E" w:rsidRPr="000F57AA" w:rsidRDefault="00B8098E" w:rsidP="00DB415B">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care nu sunt tratate ca entităţi suverane – Valoarea expunerii pentru calcularea indicatorului efectului de levier – Expuneri în cadrul abordării bazate pe modele interne de rating </w:t>
            </w:r>
          </w:p>
        </w:tc>
        <w:tc>
          <w:tcPr>
            <w:tcW w:w="992" w:type="dxa"/>
          </w:tcPr>
          <w:p w14:paraId="4A77F957" w14:textId="278E2B8E" w:rsidR="00B8098E" w:rsidRPr="000F57AA" w:rsidRDefault="00B8098E" w:rsidP="00DB415B">
            <w:pPr>
              <w:ind w:right="90"/>
              <w:rPr>
                <w:sz w:val="22"/>
                <w:szCs w:val="22"/>
                <w:lang w:val="ro-RO" w:eastAsia="ru-RU"/>
                <w14:ligatures w14:val="standardContextual"/>
              </w:rPr>
            </w:pPr>
            <w:r w:rsidRPr="000F57AA">
              <w:rPr>
                <w:sz w:val="22"/>
                <w:szCs w:val="22"/>
                <w:lang w:val="ro-RO" w:eastAsia="ru-RU"/>
                <w14:ligatures w14:val="standardContextual"/>
              </w:rPr>
              <w:t>blocat</w:t>
            </w:r>
          </w:p>
        </w:tc>
      </w:tr>
      <w:tr w:rsidR="00B8098E" w:rsidRPr="00A05A6A" w14:paraId="736DAFC6" w14:textId="77777777" w:rsidTr="0077559D">
        <w:trPr>
          <w:trHeight w:val="161"/>
        </w:trPr>
        <w:tc>
          <w:tcPr>
            <w:tcW w:w="1129" w:type="dxa"/>
          </w:tcPr>
          <w:p w14:paraId="3EF6964C" w14:textId="15081DA3" w:rsidR="00B8098E" w:rsidRPr="000F57AA" w:rsidRDefault="00B8098E" w:rsidP="00B8098E">
            <w:pPr>
              <w:ind w:right="90"/>
              <w:rPr>
                <w:sz w:val="22"/>
                <w:szCs w:val="22"/>
                <w:lang w:val="ro-RO" w:eastAsia="ru-RU"/>
                <w14:ligatures w14:val="standardContextual"/>
              </w:rPr>
            </w:pPr>
            <w:r w:rsidRPr="000F57AA">
              <w:rPr>
                <w:sz w:val="22"/>
                <w:szCs w:val="22"/>
                <w:lang w:val="ro-RO"/>
              </w:rPr>
              <w:t>{0150;0030}</w:t>
            </w:r>
          </w:p>
        </w:tc>
        <w:tc>
          <w:tcPr>
            <w:tcW w:w="8505" w:type="dxa"/>
            <w:gridSpan w:val="2"/>
          </w:tcPr>
          <w:p w14:paraId="1D2BE87C" w14:textId="77777777" w:rsidR="00B8098E" w:rsidRPr="000F57AA" w:rsidRDefault="00B8098E" w:rsidP="00DB415B">
            <w:pPr>
              <w:ind w:right="90" w:firstLine="456"/>
              <w:rPr>
                <w:b/>
                <w:bCs/>
                <w:sz w:val="22"/>
                <w:szCs w:val="22"/>
                <w:lang w:val="ro-RO"/>
              </w:rPr>
            </w:pPr>
            <w:r w:rsidRPr="000F57AA">
              <w:rPr>
                <w:b/>
                <w:bCs/>
                <w:sz w:val="22"/>
                <w:szCs w:val="22"/>
                <w:lang w:val="ro-RO"/>
              </w:rPr>
              <w:t xml:space="preserve">Administraţii regionale și autorităţi locale care nu sunt tratate ca entităţi suverane – Cuantumul ponderat la risc al expunerilor – Expuneri în cadrul abordării standardizate </w:t>
            </w:r>
          </w:p>
          <w:p w14:paraId="3882A5A7" w14:textId="676194BD" w:rsidR="00B8098E" w:rsidRPr="000F57AA" w:rsidRDefault="00B8098E" w:rsidP="00DB415B">
            <w:pPr>
              <w:ind w:right="90" w:firstLine="456"/>
              <w:rPr>
                <w:sz w:val="22"/>
                <w:szCs w:val="22"/>
                <w:lang w:val="ro-RO"/>
              </w:rPr>
            </w:pPr>
            <w:r w:rsidRPr="000F57AA">
              <w:rPr>
                <w:sz w:val="22"/>
                <w:szCs w:val="22"/>
                <w:lang w:val="ro-RO"/>
              </w:rPr>
              <w:t>Cuantumul ponderat la risc al expunerii activelor care reprezintă expuneri în cadrul abordării standardizate faţă de administraţii regionale și autorităţi locale care nu sunt tratate ca entităţi suverane, astfel cum sunt prevăzute la pct.34-35 și pct.37 din Regulamentul nr.111/2018.</w:t>
            </w:r>
          </w:p>
          <w:p w14:paraId="14F0C2CB" w14:textId="0719D1E3" w:rsidR="00B8098E" w:rsidRPr="000F57AA" w:rsidRDefault="00B8098E"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B1550C" w:rsidRPr="000F57AA" w14:paraId="41E8A578" w14:textId="77777777" w:rsidTr="0077559D">
        <w:trPr>
          <w:trHeight w:val="161"/>
        </w:trPr>
        <w:tc>
          <w:tcPr>
            <w:tcW w:w="1129" w:type="dxa"/>
          </w:tcPr>
          <w:p w14:paraId="78380129" w14:textId="5764D83F" w:rsidR="00B1550C" w:rsidRPr="000F57AA" w:rsidRDefault="00B1550C" w:rsidP="00B1550C">
            <w:pPr>
              <w:ind w:right="90"/>
              <w:rPr>
                <w:sz w:val="22"/>
                <w:szCs w:val="22"/>
                <w:lang w:val="ro-RO" w:eastAsia="ru-RU"/>
                <w14:ligatures w14:val="standardContextual"/>
              </w:rPr>
            </w:pPr>
            <w:r w:rsidRPr="000F57AA">
              <w:rPr>
                <w:sz w:val="22"/>
                <w:szCs w:val="22"/>
                <w:lang w:val="ro-RO"/>
              </w:rPr>
              <w:t>{0150;0040}</w:t>
            </w:r>
          </w:p>
        </w:tc>
        <w:tc>
          <w:tcPr>
            <w:tcW w:w="7513" w:type="dxa"/>
          </w:tcPr>
          <w:p w14:paraId="5B2C6FC6" w14:textId="03F00058" w:rsidR="00B1550C" w:rsidRPr="000F57AA" w:rsidRDefault="00B1550C" w:rsidP="00DB415B">
            <w:pPr>
              <w:ind w:right="90" w:firstLine="456"/>
              <w:rPr>
                <w:b/>
                <w:bCs/>
                <w:sz w:val="22"/>
                <w:szCs w:val="22"/>
                <w:lang w:val="ro-RO" w:eastAsia="ru-RU"/>
                <w14:ligatures w14:val="standardContextual"/>
              </w:rPr>
            </w:pPr>
            <w:r w:rsidRPr="000F57AA">
              <w:rPr>
                <w:b/>
                <w:bCs/>
                <w:sz w:val="22"/>
                <w:szCs w:val="22"/>
                <w:lang w:val="ro-RO"/>
              </w:rPr>
              <w:t xml:space="preserve">Administraţii regionale și autorităţi locale care nu sunt tratate ca entităţi suverane – Cuantumul ponderat la risc al expunerilor – Expuneri în cadrul abordării bazate pe modele interne de rating </w:t>
            </w:r>
          </w:p>
        </w:tc>
        <w:tc>
          <w:tcPr>
            <w:tcW w:w="992" w:type="dxa"/>
          </w:tcPr>
          <w:p w14:paraId="179172AA" w14:textId="2A1A1F5B" w:rsidR="00B1550C" w:rsidRPr="000F57AA" w:rsidRDefault="00B1550C"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1550C" w:rsidRPr="00A05A6A" w14:paraId="12C60383" w14:textId="77777777" w:rsidTr="0077559D">
        <w:trPr>
          <w:trHeight w:val="161"/>
        </w:trPr>
        <w:tc>
          <w:tcPr>
            <w:tcW w:w="1129" w:type="dxa"/>
          </w:tcPr>
          <w:p w14:paraId="519C5A30" w14:textId="5CA6E055" w:rsidR="00B1550C" w:rsidRPr="000F57AA" w:rsidRDefault="00B1550C" w:rsidP="00B1550C">
            <w:pPr>
              <w:ind w:right="90"/>
              <w:rPr>
                <w:sz w:val="22"/>
                <w:szCs w:val="22"/>
                <w:lang w:val="ro-RO" w:eastAsia="ru-RU"/>
                <w14:ligatures w14:val="standardContextual"/>
              </w:rPr>
            </w:pPr>
            <w:r w:rsidRPr="000F57AA">
              <w:rPr>
                <w:sz w:val="22"/>
                <w:szCs w:val="22"/>
                <w:lang w:val="ro-RO"/>
              </w:rPr>
              <w:t>{0160;0010}</w:t>
            </w:r>
          </w:p>
        </w:tc>
        <w:tc>
          <w:tcPr>
            <w:tcW w:w="8505" w:type="dxa"/>
            <w:gridSpan w:val="2"/>
          </w:tcPr>
          <w:p w14:paraId="08F90F73" w14:textId="77777777" w:rsidR="00B1550C" w:rsidRPr="000F57AA" w:rsidRDefault="00B1550C" w:rsidP="00DB415B">
            <w:pPr>
              <w:ind w:right="90" w:firstLine="456"/>
              <w:rPr>
                <w:b/>
                <w:bCs/>
                <w:sz w:val="22"/>
                <w:szCs w:val="22"/>
                <w:lang w:val="ro-RO"/>
              </w:rPr>
            </w:pPr>
            <w:r w:rsidRPr="000F57AA">
              <w:rPr>
                <w:b/>
                <w:bCs/>
                <w:sz w:val="22"/>
                <w:szCs w:val="22"/>
                <w:lang w:val="ro-RO"/>
              </w:rPr>
              <w:t xml:space="preserve">Bănci de dezvoltare multilaterală care nu sunt tratate ca entităţi suverane – Valoarea expunerii pentru calcularea indicatorului efectului de levier – Expuneri în cadrul abordării standardizate </w:t>
            </w:r>
          </w:p>
          <w:p w14:paraId="4A21AD5D" w14:textId="77777777" w:rsidR="00DB415B" w:rsidRPr="000F57AA" w:rsidRDefault="00B1550C"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bănci de dezvoltare multilaterală în cadrul abordării standardizate, astfel cum sunt prevăzute la pct.43-45 din Regulamentul nr.111/2018. </w:t>
            </w:r>
          </w:p>
          <w:p w14:paraId="763CBA5A" w14:textId="06496E86" w:rsidR="00B1550C" w:rsidRPr="000F57AA" w:rsidRDefault="00DB415B" w:rsidP="00DB415B">
            <w:pPr>
              <w:ind w:right="90" w:firstLine="456"/>
              <w:rPr>
                <w:b/>
                <w:bCs/>
                <w:sz w:val="22"/>
                <w:szCs w:val="22"/>
                <w:lang w:val="ro-RO" w:eastAsia="ru-RU"/>
                <w14:ligatures w14:val="standardContextual"/>
              </w:rPr>
            </w:pPr>
            <w:r w:rsidRPr="000F57AA">
              <w:rPr>
                <w:sz w:val="22"/>
                <w:szCs w:val="22"/>
                <w:lang w:val="ro-RO"/>
              </w:rPr>
              <w:t>B</w:t>
            </w:r>
            <w:r w:rsidR="00B1550C" w:rsidRPr="000F57AA">
              <w:rPr>
                <w:sz w:val="22"/>
                <w:szCs w:val="22"/>
                <w:lang w:val="ro-RO"/>
              </w:rPr>
              <w:t>ăncile raportează valoarea obţinută după scăderea expunerilor aflate în stare de nerambursare în cadrul abordării standardizate.</w:t>
            </w:r>
          </w:p>
        </w:tc>
      </w:tr>
      <w:tr w:rsidR="00B1550C" w:rsidRPr="000F57AA" w14:paraId="631579E3" w14:textId="77777777" w:rsidTr="0077559D">
        <w:trPr>
          <w:trHeight w:val="161"/>
        </w:trPr>
        <w:tc>
          <w:tcPr>
            <w:tcW w:w="1129" w:type="dxa"/>
          </w:tcPr>
          <w:p w14:paraId="51A65363" w14:textId="2663D782" w:rsidR="00B1550C" w:rsidRPr="000F57AA" w:rsidRDefault="00B1550C" w:rsidP="00B1550C">
            <w:pPr>
              <w:ind w:right="90"/>
              <w:rPr>
                <w:sz w:val="22"/>
                <w:szCs w:val="22"/>
                <w:lang w:val="ro-RO" w:eastAsia="ru-RU"/>
                <w14:ligatures w14:val="standardContextual"/>
              </w:rPr>
            </w:pPr>
            <w:r w:rsidRPr="000F57AA">
              <w:rPr>
                <w:sz w:val="22"/>
                <w:szCs w:val="22"/>
                <w:lang w:val="ro-RO"/>
              </w:rPr>
              <w:t>{0160;0020}</w:t>
            </w:r>
          </w:p>
        </w:tc>
        <w:tc>
          <w:tcPr>
            <w:tcW w:w="7513" w:type="dxa"/>
          </w:tcPr>
          <w:p w14:paraId="68C96465" w14:textId="2949F0DC" w:rsidR="00B1550C" w:rsidRPr="000F57AA" w:rsidRDefault="00B1550C" w:rsidP="00DB415B">
            <w:pPr>
              <w:ind w:right="90" w:firstLine="456"/>
              <w:rPr>
                <w:b/>
                <w:bCs/>
                <w:sz w:val="22"/>
                <w:szCs w:val="22"/>
                <w:lang w:val="ro-RO" w:eastAsia="ru-RU"/>
                <w14:ligatures w14:val="standardContextual"/>
              </w:rPr>
            </w:pPr>
            <w:r w:rsidRPr="000F57AA">
              <w:rPr>
                <w:b/>
                <w:bCs/>
                <w:sz w:val="22"/>
                <w:szCs w:val="22"/>
                <w:lang w:val="ro-RO"/>
              </w:rPr>
              <w:t xml:space="preserve">Bănci de dezvoltare multilaterală care nu sunt tratate ca entităţi suverane – Valoarea expunerii pentru calcularea indicatorului efectului de levier – Expuneri în cadrul abordării bazate pe modele interne de rating </w:t>
            </w:r>
          </w:p>
        </w:tc>
        <w:tc>
          <w:tcPr>
            <w:tcW w:w="992" w:type="dxa"/>
          </w:tcPr>
          <w:p w14:paraId="74D9D035" w14:textId="055D646F" w:rsidR="00B1550C" w:rsidRPr="000F57AA" w:rsidRDefault="00B1550C"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B1550C" w:rsidRPr="00A05A6A" w14:paraId="0D3BC866" w14:textId="77777777" w:rsidTr="0077559D">
        <w:trPr>
          <w:trHeight w:val="161"/>
        </w:trPr>
        <w:tc>
          <w:tcPr>
            <w:tcW w:w="1129" w:type="dxa"/>
          </w:tcPr>
          <w:p w14:paraId="12D63659" w14:textId="70C00A05" w:rsidR="00B1550C" w:rsidRPr="000F57AA" w:rsidRDefault="00B1550C" w:rsidP="00B1550C">
            <w:pPr>
              <w:ind w:right="90"/>
              <w:rPr>
                <w:sz w:val="22"/>
                <w:szCs w:val="22"/>
                <w:lang w:val="ro-RO" w:eastAsia="ru-RU"/>
                <w14:ligatures w14:val="standardContextual"/>
              </w:rPr>
            </w:pPr>
            <w:r w:rsidRPr="000F57AA">
              <w:rPr>
                <w:sz w:val="22"/>
                <w:szCs w:val="22"/>
                <w:lang w:val="ro-RO"/>
              </w:rPr>
              <w:t>{0160;0030}</w:t>
            </w:r>
          </w:p>
        </w:tc>
        <w:tc>
          <w:tcPr>
            <w:tcW w:w="8505" w:type="dxa"/>
            <w:gridSpan w:val="2"/>
          </w:tcPr>
          <w:p w14:paraId="124D4759" w14:textId="77777777" w:rsidR="00B1550C" w:rsidRPr="000F57AA" w:rsidRDefault="00B1550C" w:rsidP="00DB415B">
            <w:pPr>
              <w:ind w:right="90" w:firstLine="456"/>
              <w:rPr>
                <w:b/>
                <w:bCs/>
                <w:sz w:val="22"/>
                <w:szCs w:val="22"/>
                <w:lang w:val="ro-RO"/>
              </w:rPr>
            </w:pPr>
            <w:r w:rsidRPr="000F57AA">
              <w:rPr>
                <w:b/>
                <w:bCs/>
                <w:sz w:val="22"/>
                <w:szCs w:val="22"/>
                <w:lang w:val="ro-RO"/>
              </w:rPr>
              <w:t xml:space="preserve">Bănci de dezvoltare multilaterală care nu sunt tratate ca entităţi suverane – Cuantumul ponderat la risc al expunerilor – Expuneri în cadrul abordării standardizate </w:t>
            </w:r>
          </w:p>
          <w:p w14:paraId="3EEFB692" w14:textId="39B6D99B" w:rsidR="00B1550C" w:rsidRPr="000F57AA" w:rsidRDefault="00B1550C" w:rsidP="00DB415B">
            <w:pPr>
              <w:ind w:right="90" w:firstLine="456"/>
              <w:rPr>
                <w:b/>
                <w:bCs/>
                <w:sz w:val="22"/>
                <w:szCs w:val="22"/>
                <w:lang w:val="ro-RO" w:eastAsia="ru-RU"/>
                <w14:ligatures w14:val="standardContextual"/>
              </w:rPr>
            </w:pPr>
            <w:r w:rsidRPr="000F57AA">
              <w:rPr>
                <w:sz w:val="22"/>
                <w:szCs w:val="22"/>
                <w:lang w:val="ro-RO"/>
              </w:rPr>
              <w:t>Cuantumul ponderat la risc al expunerii activelor care reprezintă expuneri faţă de bănci de dezvoltare multilaterală în cadrul abordării standardizate, astfel cum sunt prevăzute la pct.43-45 din Regulamentul nr.111/2018. Băncile raportează valoarea obţinută după scăderea expunerilor aflate în stare de nerambursare în cadrul abordării standardizate.</w:t>
            </w:r>
          </w:p>
        </w:tc>
      </w:tr>
      <w:tr w:rsidR="00B1550C" w:rsidRPr="000F57AA" w14:paraId="48A7B6A2" w14:textId="77777777" w:rsidTr="0077559D">
        <w:trPr>
          <w:trHeight w:val="161"/>
        </w:trPr>
        <w:tc>
          <w:tcPr>
            <w:tcW w:w="1129" w:type="dxa"/>
          </w:tcPr>
          <w:p w14:paraId="33D68C81" w14:textId="20446EAA" w:rsidR="00B1550C" w:rsidRPr="000F57AA" w:rsidRDefault="00B1550C" w:rsidP="00B1550C">
            <w:pPr>
              <w:ind w:right="90"/>
              <w:rPr>
                <w:sz w:val="22"/>
                <w:szCs w:val="22"/>
                <w:lang w:val="ro-RO" w:eastAsia="ru-RU"/>
                <w14:ligatures w14:val="standardContextual"/>
              </w:rPr>
            </w:pPr>
            <w:r w:rsidRPr="000F57AA">
              <w:rPr>
                <w:sz w:val="22"/>
                <w:szCs w:val="22"/>
                <w:lang w:val="ro-RO"/>
              </w:rPr>
              <w:t>{0160;0040}</w:t>
            </w:r>
          </w:p>
        </w:tc>
        <w:tc>
          <w:tcPr>
            <w:tcW w:w="7513" w:type="dxa"/>
          </w:tcPr>
          <w:p w14:paraId="24510A59" w14:textId="12ABE2C7" w:rsidR="00B1550C" w:rsidRPr="000F57AA" w:rsidRDefault="00B1550C" w:rsidP="00DB415B">
            <w:pPr>
              <w:ind w:right="90" w:firstLine="456"/>
              <w:rPr>
                <w:b/>
                <w:bCs/>
                <w:sz w:val="22"/>
                <w:szCs w:val="22"/>
                <w:lang w:val="ro-RO" w:eastAsia="ru-RU"/>
                <w14:ligatures w14:val="standardContextual"/>
              </w:rPr>
            </w:pPr>
            <w:r w:rsidRPr="000F57AA">
              <w:rPr>
                <w:b/>
                <w:bCs/>
                <w:sz w:val="22"/>
                <w:szCs w:val="22"/>
                <w:lang w:val="ro-RO"/>
              </w:rPr>
              <w:t xml:space="preserve">Bănci de dezvoltare multilaterală care nu sunt tratate ca entităţi suverane – Cuantumul ponderat la risc al expunerilor – Expuneri în cadrul abordării bazate pe modele interne de rating </w:t>
            </w:r>
          </w:p>
        </w:tc>
        <w:tc>
          <w:tcPr>
            <w:tcW w:w="992" w:type="dxa"/>
          </w:tcPr>
          <w:p w14:paraId="48D90528" w14:textId="52866203" w:rsidR="00B1550C" w:rsidRPr="000F57AA" w:rsidRDefault="00B1550C"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86ADA" w:rsidRPr="00A05A6A" w14:paraId="453849CC" w14:textId="77777777" w:rsidTr="0077559D">
        <w:trPr>
          <w:trHeight w:val="161"/>
        </w:trPr>
        <w:tc>
          <w:tcPr>
            <w:tcW w:w="1129" w:type="dxa"/>
          </w:tcPr>
          <w:p w14:paraId="6B53B045" w14:textId="109E5D72" w:rsidR="00186ADA" w:rsidRPr="000F57AA" w:rsidRDefault="00186ADA" w:rsidP="00186ADA">
            <w:pPr>
              <w:ind w:right="90"/>
              <w:rPr>
                <w:sz w:val="22"/>
                <w:szCs w:val="22"/>
                <w:lang w:val="ro-RO" w:eastAsia="ru-RU"/>
                <w14:ligatures w14:val="standardContextual"/>
              </w:rPr>
            </w:pPr>
            <w:r w:rsidRPr="000F57AA">
              <w:rPr>
                <w:sz w:val="22"/>
                <w:szCs w:val="22"/>
                <w:lang w:val="ro-RO"/>
              </w:rPr>
              <w:lastRenderedPageBreak/>
              <w:t>{0170;0010}</w:t>
            </w:r>
          </w:p>
        </w:tc>
        <w:tc>
          <w:tcPr>
            <w:tcW w:w="8505" w:type="dxa"/>
            <w:gridSpan w:val="2"/>
          </w:tcPr>
          <w:p w14:paraId="26739E68" w14:textId="77777777" w:rsidR="00186ADA" w:rsidRPr="000F57AA" w:rsidRDefault="00186ADA" w:rsidP="00DB415B">
            <w:pPr>
              <w:ind w:right="90" w:firstLine="456"/>
              <w:rPr>
                <w:b/>
                <w:bCs/>
                <w:sz w:val="22"/>
                <w:szCs w:val="22"/>
                <w:lang w:val="ro-RO"/>
              </w:rPr>
            </w:pPr>
            <w:r w:rsidRPr="000F57AA">
              <w:rPr>
                <w:b/>
                <w:bCs/>
                <w:sz w:val="22"/>
                <w:szCs w:val="22"/>
                <w:lang w:val="ro-RO"/>
              </w:rPr>
              <w:t xml:space="preserve">Entităţi din sectorul public care nu sunt tratate ca entităţi suverane – Valoarea expunerii pentru calcularea indicatorului efectului de levier – Expuneri în cadrul abordării standardizate </w:t>
            </w:r>
          </w:p>
          <w:p w14:paraId="3C90B3E7" w14:textId="77777777" w:rsidR="00186ADA" w:rsidRPr="000F57AA" w:rsidRDefault="00186ADA"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entităţi din sectorul public în cadrul abordării standardizate, astfel cum sunt prevăzute la pct.37-41 din Regulamentul nr.111/2018. </w:t>
            </w:r>
          </w:p>
          <w:p w14:paraId="049E3A89" w14:textId="165280A2" w:rsidR="00186ADA" w:rsidRPr="000F57AA" w:rsidRDefault="00186AD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02BA9" w:rsidRPr="000F57AA" w14:paraId="2B896DA7" w14:textId="77777777" w:rsidTr="0077559D">
        <w:trPr>
          <w:trHeight w:val="161"/>
        </w:trPr>
        <w:tc>
          <w:tcPr>
            <w:tcW w:w="1129" w:type="dxa"/>
          </w:tcPr>
          <w:p w14:paraId="02A50B79" w14:textId="3D13A3D2" w:rsidR="00D02BA9" w:rsidRPr="000F57AA" w:rsidRDefault="00D02BA9" w:rsidP="00D02BA9">
            <w:pPr>
              <w:ind w:right="90"/>
              <w:rPr>
                <w:sz w:val="22"/>
                <w:szCs w:val="22"/>
                <w:lang w:val="ro-RO" w:eastAsia="ru-RU"/>
                <w14:ligatures w14:val="standardContextual"/>
              </w:rPr>
            </w:pPr>
            <w:r w:rsidRPr="000F57AA">
              <w:rPr>
                <w:sz w:val="22"/>
                <w:szCs w:val="22"/>
                <w:lang w:val="ro-RO"/>
              </w:rPr>
              <w:t>{0170;0020}</w:t>
            </w:r>
          </w:p>
        </w:tc>
        <w:tc>
          <w:tcPr>
            <w:tcW w:w="7513" w:type="dxa"/>
          </w:tcPr>
          <w:p w14:paraId="5F486D75" w14:textId="20081DEE" w:rsidR="00D02BA9" w:rsidRPr="000F57AA" w:rsidRDefault="00D02BA9" w:rsidP="00DB415B">
            <w:pPr>
              <w:ind w:right="90" w:firstLine="456"/>
              <w:rPr>
                <w:b/>
                <w:bCs/>
                <w:sz w:val="22"/>
                <w:szCs w:val="22"/>
                <w:lang w:val="ro-RO" w:eastAsia="ru-RU"/>
                <w14:ligatures w14:val="standardContextual"/>
              </w:rPr>
            </w:pPr>
            <w:r w:rsidRPr="000F57AA">
              <w:rPr>
                <w:b/>
                <w:bCs/>
                <w:sz w:val="22"/>
                <w:szCs w:val="22"/>
                <w:lang w:val="ro-RO"/>
              </w:rPr>
              <w:t xml:space="preserve">Entităţi din sectorul public care nu sunt tratate ca entităţi suverane – Valoarea expunerii pentru calcularea indicatorului efectului de levier – Expuneri în cadrul abordării bazate pe modele interne de rating </w:t>
            </w:r>
          </w:p>
        </w:tc>
        <w:tc>
          <w:tcPr>
            <w:tcW w:w="992" w:type="dxa"/>
          </w:tcPr>
          <w:p w14:paraId="10B5DA6E" w14:textId="08F746B3" w:rsidR="00D02BA9" w:rsidRPr="000F57AA" w:rsidRDefault="00D02BA9"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02BA9" w:rsidRPr="00A05A6A" w14:paraId="3BBFD9C9" w14:textId="77777777" w:rsidTr="0077559D">
        <w:trPr>
          <w:trHeight w:val="161"/>
        </w:trPr>
        <w:tc>
          <w:tcPr>
            <w:tcW w:w="1129" w:type="dxa"/>
          </w:tcPr>
          <w:p w14:paraId="7E01E38E" w14:textId="7D8C10EF" w:rsidR="00D02BA9" w:rsidRPr="000F57AA" w:rsidRDefault="00D02BA9" w:rsidP="00D02BA9">
            <w:pPr>
              <w:ind w:right="90"/>
              <w:rPr>
                <w:sz w:val="22"/>
                <w:szCs w:val="22"/>
                <w:lang w:val="ro-RO" w:eastAsia="ru-RU"/>
                <w14:ligatures w14:val="standardContextual"/>
              </w:rPr>
            </w:pPr>
            <w:r w:rsidRPr="000F57AA">
              <w:rPr>
                <w:sz w:val="22"/>
                <w:szCs w:val="22"/>
                <w:lang w:val="ro-RO"/>
              </w:rPr>
              <w:t>{0170;0030}</w:t>
            </w:r>
          </w:p>
        </w:tc>
        <w:tc>
          <w:tcPr>
            <w:tcW w:w="8505" w:type="dxa"/>
            <w:gridSpan w:val="2"/>
          </w:tcPr>
          <w:p w14:paraId="00AA3A7A" w14:textId="77777777" w:rsidR="00D02BA9" w:rsidRPr="000F57AA" w:rsidRDefault="00D02BA9" w:rsidP="00DB415B">
            <w:pPr>
              <w:ind w:right="90" w:firstLine="456"/>
              <w:rPr>
                <w:b/>
                <w:bCs/>
                <w:sz w:val="22"/>
                <w:szCs w:val="22"/>
                <w:lang w:val="ro-RO"/>
              </w:rPr>
            </w:pPr>
            <w:r w:rsidRPr="000F57AA">
              <w:rPr>
                <w:b/>
                <w:bCs/>
                <w:sz w:val="22"/>
                <w:szCs w:val="22"/>
                <w:lang w:val="ro-RO"/>
              </w:rPr>
              <w:t xml:space="preserve">Entităţi din sectorul public care nu sunt tratate ca entităţi suverane – Cuantumul ponderat la risc al expunerilor – Expuneri în cadrul abordării standardizate </w:t>
            </w:r>
          </w:p>
          <w:p w14:paraId="0172A7D9" w14:textId="13FD8A2A" w:rsidR="00D02BA9" w:rsidRPr="000F57AA" w:rsidRDefault="00D02BA9" w:rsidP="00DB415B">
            <w:pPr>
              <w:ind w:right="90" w:firstLine="456"/>
              <w:rPr>
                <w:sz w:val="22"/>
                <w:szCs w:val="22"/>
                <w:lang w:val="ro-RO"/>
              </w:rPr>
            </w:pPr>
            <w:r w:rsidRPr="000F57AA">
              <w:rPr>
                <w:sz w:val="22"/>
                <w:szCs w:val="22"/>
                <w:lang w:val="ro-RO"/>
              </w:rPr>
              <w:t xml:space="preserve">Cuantumul ponderat la risc al expunerii activelor care reprezintă expuneri faţă de entităţi din sectorul public în cadrul abordării standardizate, astfel cum sunt prevăzute la pct.37-41 din Regulamentul nr.111/2018 . </w:t>
            </w:r>
          </w:p>
          <w:p w14:paraId="2983AE3B" w14:textId="269DEF99" w:rsidR="00D02BA9" w:rsidRPr="000F57AA" w:rsidRDefault="00D02BA9"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02BA9" w:rsidRPr="000F57AA" w14:paraId="2B64D602" w14:textId="77777777" w:rsidTr="0077559D">
        <w:trPr>
          <w:trHeight w:val="161"/>
        </w:trPr>
        <w:tc>
          <w:tcPr>
            <w:tcW w:w="1129" w:type="dxa"/>
          </w:tcPr>
          <w:p w14:paraId="4F9218F9" w14:textId="537559B5" w:rsidR="00D02BA9" w:rsidRPr="000F57AA" w:rsidRDefault="00D02BA9" w:rsidP="00D02BA9">
            <w:pPr>
              <w:ind w:right="90"/>
              <w:rPr>
                <w:sz w:val="22"/>
                <w:szCs w:val="22"/>
                <w:lang w:val="ro-RO" w:eastAsia="ru-RU"/>
                <w14:ligatures w14:val="standardContextual"/>
              </w:rPr>
            </w:pPr>
            <w:r w:rsidRPr="000F57AA">
              <w:rPr>
                <w:sz w:val="22"/>
                <w:szCs w:val="22"/>
                <w:lang w:val="ro-RO"/>
              </w:rPr>
              <w:t>{0170;0040}</w:t>
            </w:r>
          </w:p>
        </w:tc>
        <w:tc>
          <w:tcPr>
            <w:tcW w:w="7513" w:type="dxa"/>
          </w:tcPr>
          <w:p w14:paraId="294EE6CA" w14:textId="7820B2C4" w:rsidR="00D02BA9" w:rsidRPr="000F57AA" w:rsidRDefault="00D02BA9" w:rsidP="00DB415B">
            <w:pPr>
              <w:ind w:right="90" w:firstLine="456"/>
              <w:rPr>
                <w:b/>
                <w:bCs/>
                <w:sz w:val="22"/>
                <w:szCs w:val="22"/>
                <w:lang w:val="ro-RO" w:eastAsia="ru-RU"/>
                <w14:ligatures w14:val="standardContextual"/>
              </w:rPr>
            </w:pPr>
            <w:r w:rsidRPr="000F57AA">
              <w:rPr>
                <w:b/>
                <w:bCs/>
                <w:sz w:val="22"/>
                <w:szCs w:val="22"/>
                <w:lang w:val="ro-RO"/>
              </w:rPr>
              <w:t xml:space="preserve">Entităţi din sectorul public care nu sunt tratate ca entităţi suverane – Cuantumul ponderat la risc al expunerilor – Expuneri în cadrul abordării bazate pe modele interne de rating </w:t>
            </w:r>
          </w:p>
        </w:tc>
        <w:tc>
          <w:tcPr>
            <w:tcW w:w="992" w:type="dxa"/>
          </w:tcPr>
          <w:p w14:paraId="32D4DE67" w14:textId="2162D59A" w:rsidR="00D02BA9" w:rsidRPr="000F57AA" w:rsidRDefault="00D02BA9"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02BA9" w:rsidRPr="00A05A6A" w14:paraId="2A5109D9" w14:textId="77777777" w:rsidTr="0077559D">
        <w:trPr>
          <w:trHeight w:val="161"/>
        </w:trPr>
        <w:tc>
          <w:tcPr>
            <w:tcW w:w="1129" w:type="dxa"/>
          </w:tcPr>
          <w:p w14:paraId="0F48F78E" w14:textId="00902148" w:rsidR="00D02BA9" w:rsidRPr="000F57AA" w:rsidRDefault="00D02BA9" w:rsidP="00D02BA9">
            <w:pPr>
              <w:ind w:right="90"/>
              <w:rPr>
                <w:sz w:val="22"/>
                <w:szCs w:val="22"/>
                <w:lang w:val="ro-RO" w:eastAsia="ru-RU"/>
                <w14:ligatures w14:val="standardContextual"/>
              </w:rPr>
            </w:pPr>
            <w:r w:rsidRPr="000F57AA">
              <w:rPr>
                <w:sz w:val="22"/>
                <w:szCs w:val="22"/>
                <w:lang w:val="ro-RO"/>
              </w:rPr>
              <w:t>{0180;0010}</w:t>
            </w:r>
          </w:p>
        </w:tc>
        <w:tc>
          <w:tcPr>
            <w:tcW w:w="8505" w:type="dxa"/>
            <w:gridSpan w:val="2"/>
          </w:tcPr>
          <w:p w14:paraId="250D0AC4" w14:textId="77777777" w:rsidR="00D02BA9" w:rsidRPr="000F57AA" w:rsidRDefault="00D02BA9" w:rsidP="00D02BA9">
            <w:pPr>
              <w:ind w:right="90" w:firstLine="530"/>
              <w:rPr>
                <w:b/>
                <w:bCs/>
                <w:sz w:val="22"/>
                <w:szCs w:val="22"/>
                <w:lang w:val="ro-RO"/>
              </w:rPr>
            </w:pPr>
            <w:r w:rsidRPr="000F57AA">
              <w:rPr>
                <w:b/>
                <w:bCs/>
                <w:sz w:val="22"/>
                <w:szCs w:val="22"/>
                <w:lang w:val="ro-RO"/>
              </w:rPr>
              <w:t xml:space="preserve">Bănci – Valoarea expunerii pentru calcularea indicatorului efectului de levier – Expuneri în cadrul abordării standardizate </w:t>
            </w:r>
          </w:p>
          <w:p w14:paraId="02EB40C3" w14:textId="77777777" w:rsidR="00DB415B" w:rsidRPr="000F57AA" w:rsidRDefault="00D02BA9" w:rsidP="00D02BA9">
            <w:pPr>
              <w:ind w:right="90" w:firstLine="530"/>
              <w:rPr>
                <w:sz w:val="22"/>
                <w:szCs w:val="22"/>
                <w:lang w:val="ro-RO"/>
              </w:rPr>
            </w:pPr>
            <w:r w:rsidRPr="000F57AA">
              <w:rPr>
                <w:sz w:val="22"/>
                <w:szCs w:val="22"/>
                <w:lang w:val="ro-RO"/>
              </w:rPr>
              <w:t xml:space="preserve">Valoarea expunerii pentru calcularea indicatorului efectului de levier al activelor care reprezintă expuneri faţă de bănci în cadrul abordării standardizate, astfel cum sunt prevăzute la pct.48-58 din Regulamentul nr.111/2018. </w:t>
            </w:r>
          </w:p>
          <w:p w14:paraId="7D4DBCCD" w14:textId="6929C804" w:rsidR="00D02BA9" w:rsidRPr="000F57AA" w:rsidRDefault="00D02BA9" w:rsidP="00D02BA9">
            <w:pPr>
              <w:ind w:right="90" w:firstLine="530"/>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02BA9" w:rsidRPr="000F57AA" w14:paraId="46782290" w14:textId="77777777" w:rsidTr="0077559D">
        <w:trPr>
          <w:trHeight w:val="161"/>
        </w:trPr>
        <w:tc>
          <w:tcPr>
            <w:tcW w:w="1129" w:type="dxa"/>
          </w:tcPr>
          <w:p w14:paraId="5E68E543" w14:textId="46971687" w:rsidR="00D02BA9" w:rsidRPr="000F57AA" w:rsidRDefault="00D02BA9" w:rsidP="00D02BA9">
            <w:pPr>
              <w:ind w:right="90"/>
              <w:rPr>
                <w:sz w:val="22"/>
                <w:szCs w:val="22"/>
                <w:lang w:val="ro-RO" w:eastAsia="ru-RU"/>
                <w14:ligatures w14:val="standardContextual"/>
              </w:rPr>
            </w:pPr>
            <w:r w:rsidRPr="000F57AA">
              <w:rPr>
                <w:sz w:val="22"/>
                <w:szCs w:val="22"/>
                <w:lang w:val="ro-RO"/>
              </w:rPr>
              <w:t>{0180;0020}</w:t>
            </w:r>
          </w:p>
        </w:tc>
        <w:tc>
          <w:tcPr>
            <w:tcW w:w="7513" w:type="dxa"/>
          </w:tcPr>
          <w:p w14:paraId="0EC5698E" w14:textId="3F0C70AA" w:rsidR="00D02BA9" w:rsidRPr="000F57AA" w:rsidRDefault="00D02BA9" w:rsidP="00DB415B">
            <w:pPr>
              <w:ind w:right="90" w:firstLine="456"/>
              <w:rPr>
                <w:b/>
                <w:bCs/>
                <w:sz w:val="22"/>
                <w:szCs w:val="22"/>
                <w:lang w:val="ro-RO" w:eastAsia="ru-RU"/>
                <w14:ligatures w14:val="standardContextual"/>
              </w:rPr>
            </w:pPr>
            <w:r w:rsidRPr="000F57AA">
              <w:rPr>
                <w:b/>
                <w:bCs/>
                <w:sz w:val="22"/>
                <w:szCs w:val="22"/>
                <w:lang w:val="ro-RO"/>
              </w:rPr>
              <w:t xml:space="preserve">Bănci – Valoarea expunerii pentru calcularea indicatorului efectului de levier – Expuneri în cadrul abordării bazate pe modele interne de rating </w:t>
            </w:r>
          </w:p>
        </w:tc>
        <w:tc>
          <w:tcPr>
            <w:tcW w:w="992" w:type="dxa"/>
          </w:tcPr>
          <w:p w14:paraId="7930213D" w14:textId="13392FEB" w:rsidR="00D02BA9" w:rsidRPr="000F57AA" w:rsidRDefault="00D02BA9" w:rsidP="00D02BA9">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02BA9" w:rsidRPr="00A05A6A" w14:paraId="433814FB" w14:textId="77777777" w:rsidTr="0077559D">
        <w:trPr>
          <w:trHeight w:val="161"/>
        </w:trPr>
        <w:tc>
          <w:tcPr>
            <w:tcW w:w="1129" w:type="dxa"/>
          </w:tcPr>
          <w:p w14:paraId="4AA60AA8" w14:textId="3F2FAFCD" w:rsidR="00D02BA9" w:rsidRPr="000F57AA" w:rsidRDefault="00D02BA9" w:rsidP="00D02BA9">
            <w:pPr>
              <w:ind w:right="90"/>
              <w:rPr>
                <w:sz w:val="22"/>
                <w:szCs w:val="22"/>
                <w:lang w:val="ro-RO" w:eastAsia="ru-RU"/>
                <w14:ligatures w14:val="standardContextual"/>
              </w:rPr>
            </w:pPr>
            <w:r w:rsidRPr="000F57AA">
              <w:rPr>
                <w:sz w:val="22"/>
                <w:szCs w:val="22"/>
                <w:lang w:val="ro-RO"/>
              </w:rPr>
              <w:t>{0180;0030}</w:t>
            </w:r>
          </w:p>
        </w:tc>
        <w:tc>
          <w:tcPr>
            <w:tcW w:w="8505" w:type="dxa"/>
            <w:gridSpan w:val="2"/>
          </w:tcPr>
          <w:p w14:paraId="23782B88" w14:textId="77777777" w:rsidR="00D02BA9" w:rsidRPr="000F57AA" w:rsidRDefault="00D02BA9" w:rsidP="00DB415B">
            <w:pPr>
              <w:ind w:right="90" w:firstLine="456"/>
              <w:rPr>
                <w:b/>
                <w:bCs/>
                <w:sz w:val="22"/>
                <w:szCs w:val="22"/>
                <w:lang w:val="ro-RO"/>
              </w:rPr>
            </w:pPr>
            <w:r w:rsidRPr="000F57AA">
              <w:rPr>
                <w:b/>
                <w:bCs/>
                <w:sz w:val="22"/>
                <w:szCs w:val="22"/>
                <w:lang w:val="ro-RO"/>
              </w:rPr>
              <w:t xml:space="preserve">Bănci – Cuantumul ponderat la risc al expunerilor – Expuneri în cadrul abordării standardizate </w:t>
            </w:r>
          </w:p>
          <w:p w14:paraId="542AD500" w14:textId="77777777" w:rsidR="00D02BA9" w:rsidRPr="000F57AA" w:rsidRDefault="00D02BA9" w:rsidP="00DB415B">
            <w:pPr>
              <w:ind w:right="90" w:firstLine="456"/>
              <w:rPr>
                <w:sz w:val="22"/>
                <w:szCs w:val="22"/>
                <w:lang w:val="ro-RO"/>
              </w:rPr>
            </w:pPr>
            <w:r w:rsidRPr="000F57AA">
              <w:rPr>
                <w:sz w:val="22"/>
                <w:szCs w:val="22"/>
                <w:lang w:val="ro-RO"/>
              </w:rPr>
              <w:t xml:space="preserve">Cuantumul ponderat la risc al expunerii activelor care reprezintă expuneri faţă de bănci în cadrul abordării standardizate, astfel cum sunt prevăzute la pct.48-58 din Regulamentul nr.111/2018. </w:t>
            </w:r>
          </w:p>
          <w:p w14:paraId="5EF39F6E" w14:textId="0A3A3D9D" w:rsidR="00D02BA9" w:rsidRPr="000F57AA" w:rsidRDefault="00D02BA9"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02BA9" w:rsidRPr="000F57AA" w14:paraId="5F905C28" w14:textId="77777777" w:rsidTr="0077559D">
        <w:trPr>
          <w:trHeight w:val="161"/>
        </w:trPr>
        <w:tc>
          <w:tcPr>
            <w:tcW w:w="1129" w:type="dxa"/>
          </w:tcPr>
          <w:p w14:paraId="5071AD80" w14:textId="70C045B7" w:rsidR="00D02BA9" w:rsidRPr="000F57AA" w:rsidRDefault="00D02BA9" w:rsidP="00D02BA9">
            <w:pPr>
              <w:ind w:right="90"/>
              <w:rPr>
                <w:sz w:val="22"/>
                <w:szCs w:val="22"/>
                <w:lang w:val="ro-RO" w:eastAsia="ru-RU"/>
                <w14:ligatures w14:val="standardContextual"/>
              </w:rPr>
            </w:pPr>
            <w:r w:rsidRPr="000F57AA">
              <w:rPr>
                <w:sz w:val="22"/>
                <w:szCs w:val="22"/>
                <w:lang w:val="ro-RO"/>
              </w:rPr>
              <w:t>{0180;0040}</w:t>
            </w:r>
          </w:p>
        </w:tc>
        <w:tc>
          <w:tcPr>
            <w:tcW w:w="7513" w:type="dxa"/>
          </w:tcPr>
          <w:p w14:paraId="319CDD5D" w14:textId="69A2DB61" w:rsidR="00D02BA9" w:rsidRPr="000F57AA" w:rsidRDefault="00660996" w:rsidP="00DB415B">
            <w:pPr>
              <w:ind w:right="90" w:firstLine="456"/>
              <w:rPr>
                <w:b/>
                <w:bCs/>
                <w:sz w:val="22"/>
                <w:szCs w:val="22"/>
                <w:lang w:val="ro-RO" w:eastAsia="ru-RU"/>
                <w14:ligatures w14:val="standardContextual"/>
              </w:rPr>
            </w:pPr>
            <w:r w:rsidRPr="000F57AA">
              <w:rPr>
                <w:b/>
                <w:bCs/>
                <w:sz w:val="22"/>
                <w:szCs w:val="22"/>
                <w:lang w:val="ro-RO"/>
              </w:rPr>
              <w:t xml:space="preserve">Bănci </w:t>
            </w:r>
            <w:r w:rsidR="00D02BA9" w:rsidRPr="000F57AA">
              <w:rPr>
                <w:b/>
                <w:bCs/>
                <w:sz w:val="22"/>
                <w:szCs w:val="22"/>
                <w:lang w:val="ro-RO"/>
              </w:rPr>
              <w:t xml:space="preserve">– Cuantumul ponderat la risc al expunerilor – Expuneri în cadrul abordării bazate pe modele interne de rating </w:t>
            </w:r>
          </w:p>
        </w:tc>
        <w:tc>
          <w:tcPr>
            <w:tcW w:w="992" w:type="dxa"/>
          </w:tcPr>
          <w:p w14:paraId="3419DF18" w14:textId="494DECA4" w:rsidR="00D02BA9" w:rsidRPr="000F57AA" w:rsidRDefault="00D02BA9"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02BA9" w:rsidRPr="00A05A6A" w14:paraId="1C6198EA" w14:textId="77777777" w:rsidTr="0077559D">
        <w:trPr>
          <w:trHeight w:val="161"/>
        </w:trPr>
        <w:tc>
          <w:tcPr>
            <w:tcW w:w="1129" w:type="dxa"/>
          </w:tcPr>
          <w:p w14:paraId="3DAC7363" w14:textId="2C48ED5E" w:rsidR="00D02BA9" w:rsidRPr="000F57AA" w:rsidRDefault="00D02BA9" w:rsidP="00D02BA9">
            <w:pPr>
              <w:ind w:right="90"/>
              <w:rPr>
                <w:sz w:val="22"/>
                <w:szCs w:val="22"/>
                <w:lang w:val="ro-RO" w:eastAsia="ru-RU"/>
                <w14:ligatures w14:val="standardContextual"/>
              </w:rPr>
            </w:pPr>
            <w:r w:rsidRPr="000F57AA">
              <w:rPr>
                <w:sz w:val="22"/>
                <w:szCs w:val="22"/>
                <w:lang w:val="ro-RO"/>
              </w:rPr>
              <w:t>{0190;0010}</w:t>
            </w:r>
          </w:p>
        </w:tc>
        <w:tc>
          <w:tcPr>
            <w:tcW w:w="8505" w:type="dxa"/>
            <w:gridSpan w:val="2"/>
          </w:tcPr>
          <w:p w14:paraId="18A63767" w14:textId="77777777" w:rsidR="00D02BA9" w:rsidRPr="000F57AA" w:rsidRDefault="00D02BA9" w:rsidP="00DB415B">
            <w:pPr>
              <w:ind w:right="90" w:firstLine="456"/>
              <w:rPr>
                <w:b/>
                <w:bCs/>
                <w:sz w:val="22"/>
                <w:szCs w:val="22"/>
                <w:lang w:val="ro-RO"/>
              </w:rPr>
            </w:pPr>
            <w:r w:rsidRPr="000F57AA">
              <w:rPr>
                <w:b/>
                <w:bCs/>
                <w:sz w:val="22"/>
                <w:szCs w:val="22"/>
                <w:lang w:val="ro-RO"/>
              </w:rPr>
              <w:t xml:space="preserve">Garantate cu ipoteci asupra bunurilor imobile – Valoarea expunerii pentru calcularea indicatorului efectului de levier – Expuneri în cadrul abordării standardizate </w:t>
            </w:r>
          </w:p>
          <w:p w14:paraId="04C6FFB3" w14:textId="43651A14" w:rsidR="00D02BA9" w:rsidRPr="000F57AA" w:rsidRDefault="00D02BA9"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garantate cu ipoteci asupra bunurilor imobile în cadrul abordării standardizate, astfel cum sunt prevăzute la pct.65-68 din Regulamentul nr.111/2018. </w:t>
            </w:r>
          </w:p>
          <w:p w14:paraId="1BD38352" w14:textId="614C339E" w:rsidR="00D02BA9" w:rsidRPr="000F57AA" w:rsidRDefault="00D02BA9"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C02BA" w:rsidRPr="000F57AA" w14:paraId="4ED629E9" w14:textId="77777777" w:rsidTr="0077559D">
        <w:trPr>
          <w:trHeight w:val="161"/>
        </w:trPr>
        <w:tc>
          <w:tcPr>
            <w:tcW w:w="1129" w:type="dxa"/>
          </w:tcPr>
          <w:p w14:paraId="45F12C4A" w14:textId="41C6EC64" w:rsidR="007C02BA" w:rsidRPr="000F57AA" w:rsidRDefault="007C02BA" w:rsidP="007C02BA">
            <w:pPr>
              <w:ind w:right="90"/>
              <w:rPr>
                <w:sz w:val="22"/>
                <w:szCs w:val="22"/>
                <w:lang w:val="ro-RO" w:eastAsia="ru-RU"/>
                <w14:ligatures w14:val="standardContextual"/>
              </w:rPr>
            </w:pPr>
            <w:r w:rsidRPr="000F57AA">
              <w:rPr>
                <w:sz w:val="22"/>
                <w:szCs w:val="22"/>
                <w:lang w:val="ro-RO"/>
              </w:rPr>
              <w:t>{0190;0020}</w:t>
            </w:r>
          </w:p>
        </w:tc>
        <w:tc>
          <w:tcPr>
            <w:tcW w:w="7513" w:type="dxa"/>
          </w:tcPr>
          <w:p w14:paraId="47CBE543" w14:textId="2BDAE7BC" w:rsidR="007C02BA" w:rsidRPr="000F57AA" w:rsidRDefault="007C02BA" w:rsidP="00DB415B">
            <w:pPr>
              <w:ind w:right="90" w:firstLine="456"/>
              <w:rPr>
                <w:b/>
                <w:bCs/>
                <w:sz w:val="22"/>
                <w:szCs w:val="22"/>
                <w:lang w:val="ro-RO" w:eastAsia="ru-RU"/>
                <w14:ligatures w14:val="standardContextual"/>
              </w:rPr>
            </w:pPr>
            <w:r w:rsidRPr="000F57AA">
              <w:rPr>
                <w:b/>
                <w:bCs/>
                <w:sz w:val="22"/>
                <w:szCs w:val="22"/>
                <w:lang w:val="ro-RO"/>
              </w:rPr>
              <w:t xml:space="preserve">Garantate cu ipoteci asupra bunurilor imobile – Valoarea expunerii pentru calcularea indicatorului efectului de levier – Expuneri în cadrul abordării bazate pe modele interne de rating </w:t>
            </w:r>
          </w:p>
        </w:tc>
        <w:tc>
          <w:tcPr>
            <w:tcW w:w="992" w:type="dxa"/>
          </w:tcPr>
          <w:p w14:paraId="503CFD81" w14:textId="70A72728" w:rsidR="007C02BA" w:rsidRPr="000F57AA" w:rsidRDefault="007C02BA" w:rsidP="00DB415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C02BA" w:rsidRPr="00A05A6A" w14:paraId="354E7072" w14:textId="77777777" w:rsidTr="0077559D">
        <w:trPr>
          <w:trHeight w:val="161"/>
        </w:trPr>
        <w:tc>
          <w:tcPr>
            <w:tcW w:w="1129" w:type="dxa"/>
          </w:tcPr>
          <w:p w14:paraId="76BBA1DE" w14:textId="306AA5C5" w:rsidR="007C02BA" w:rsidRPr="000F57AA" w:rsidRDefault="007C02BA" w:rsidP="007C02BA">
            <w:pPr>
              <w:ind w:right="90"/>
              <w:rPr>
                <w:sz w:val="22"/>
                <w:szCs w:val="22"/>
                <w:lang w:val="ro-RO" w:eastAsia="ru-RU"/>
                <w14:ligatures w14:val="standardContextual"/>
              </w:rPr>
            </w:pPr>
            <w:r w:rsidRPr="000F57AA">
              <w:rPr>
                <w:sz w:val="22"/>
                <w:szCs w:val="22"/>
                <w:lang w:val="ro-RO"/>
              </w:rPr>
              <w:t>{0190;0030}</w:t>
            </w:r>
          </w:p>
        </w:tc>
        <w:tc>
          <w:tcPr>
            <w:tcW w:w="8505" w:type="dxa"/>
            <w:gridSpan w:val="2"/>
          </w:tcPr>
          <w:p w14:paraId="0666435F" w14:textId="77777777" w:rsidR="007C02BA" w:rsidRPr="000F57AA" w:rsidRDefault="007C02BA" w:rsidP="00DB415B">
            <w:pPr>
              <w:ind w:right="90" w:firstLine="456"/>
              <w:rPr>
                <w:b/>
                <w:bCs/>
                <w:sz w:val="22"/>
                <w:szCs w:val="22"/>
                <w:lang w:val="ro-RO"/>
              </w:rPr>
            </w:pPr>
            <w:r w:rsidRPr="000F57AA">
              <w:rPr>
                <w:b/>
                <w:bCs/>
                <w:sz w:val="22"/>
                <w:szCs w:val="22"/>
                <w:lang w:val="ro-RO"/>
              </w:rPr>
              <w:t xml:space="preserve">Garantate cu ipoteci asupra bunurilor imobile – Cuantumul ponderat la risc al expunerilor – Expuneri în cadrul abordării standardizate </w:t>
            </w:r>
          </w:p>
          <w:p w14:paraId="1C334DF5" w14:textId="77777777" w:rsidR="007C02BA" w:rsidRPr="000F57AA" w:rsidRDefault="007C02BA" w:rsidP="00DB415B">
            <w:pPr>
              <w:ind w:right="90" w:firstLine="456"/>
              <w:rPr>
                <w:sz w:val="22"/>
                <w:szCs w:val="22"/>
                <w:lang w:val="ro-RO"/>
              </w:rPr>
            </w:pPr>
            <w:r w:rsidRPr="000F57AA">
              <w:rPr>
                <w:sz w:val="22"/>
                <w:szCs w:val="22"/>
                <w:lang w:val="ro-RO"/>
              </w:rPr>
              <w:t xml:space="preserve">Cuantumul ponderat la risc al expunerii activelor care reprezintă expuneri garantate cu ipoteci asupra bunurilor imobile în cadrul abordării standardizate, astfel cum sunt prevăzute la pct.65-68 din Regulamentul nr.111/2018. </w:t>
            </w:r>
          </w:p>
          <w:p w14:paraId="173DB4D1" w14:textId="77427D8D" w:rsidR="007C02BA" w:rsidRPr="000F57AA" w:rsidRDefault="007C02BA" w:rsidP="00DB415B">
            <w:pPr>
              <w:ind w:right="90" w:firstLine="456"/>
              <w:rPr>
                <w:b/>
                <w:bCs/>
                <w:sz w:val="22"/>
                <w:szCs w:val="22"/>
                <w:lang w:val="ro-RO" w:eastAsia="ru-RU"/>
                <w14:ligatures w14:val="standardContextual"/>
              </w:rPr>
            </w:pPr>
            <w:r w:rsidRPr="000F57AA">
              <w:rPr>
                <w:sz w:val="22"/>
                <w:szCs w:val="22"/>
                <w:lang w:val="ro-RO"/>
              </w:rPr>
              <w:lastRenderedPageBreak/>
              <w:t>Băncile raportează valoarea obţinută după scăderea expunerilor aflate în stare de nerambursare în cadrul abordării standardizate.</w:t>
            </w:r>
          </w:p>
        </w:tc>
      </w:tr>
      <w:tr w:rsidR="007C02BA" w:rsidRPr="000F57AA" w14:paraId="7BFBA1DD" w14:textId="77777777" w:rsidTr="0077559D">
        <w:trPr>
          <w:trHeight w:val="161"/>
        </w:trPr>
        <w:tc>
          <w:tcPr>
            <w:tcW w:w="1129" w:type="dxa"/>
          </w:tcPr>
          <w:p w14:paraId="5D1E16DA" w14:textId="07E5929D" w:rsidR="007C02BA" w:rsidRPr="000F57AA" w:rsidRDefault="007C02BA" w:rsidP="007C02BA">
            <w:pPr>
              <w:ind w:right="90"/>
              <w:rPr>
                <w:sz w:val="22"/>
                <w:szCs w:val="22"/>
                <w:lang w:val="ro-RO" w:eastAsia="ru-RU"/>
                <w14:ligatures w14:val="standardContextual"/>
              </w:rPr>
            </w:pPr>
            <w:r w:rsidRPr="000F57AA">
              <w:rPr>
                <w:sz w:val="22"/>
                <w:szCs w:val="22"/>
                <w:lang w:val="ro-RO"/>
              </w:rPr>
              <w:lastRenderedPageBreak/>
              <w:t>{0190;0040}</w:t>
            </w:r>
          </w:p>
        </w:tc>
        <w:tc>
          <w:tcPr>
            <w:tcW w:w="7513" w:type="dxa"/>
          </w:tcPr>
          <w:p w14:paraId="528093BF" w14:textId="75E687A6" w:rsidR="007C02BA" w:rsidRPr="000F57AA" w:rsidRDefault="007C02BA" w:rsidP="00DB415B">
            <w:pPr>
              <w:ind w:right="90" w:firstLine="456"/>
              <w:rPr>
                <w:b/>
                <w:bCs/>
                <w:sz w:val="22"/>
                <w:szCs w:val="22"/>
                <w:lang w:val="ro-RO" w:eastAsia="ru-RU"/>
                <w14:ligatures w14:val="standardContextual"/>
              </w:rPr>
            </w:pPr>
            <w:r w:rsidRPr="000F57AA">
              <w:rPr>
                <w:b/>
                <w:bCs/>
                <w:sz w:val="22"/>
                <w:szCs w:val="22"/>
                <w:lang w:val="ro-RO"/>
              </w:rPr>
              <w:t xml:space="preserve">Garantate cu ipoteci asupra bunurilor imobile – Cuantumul ponderat la risc al expunerilor – Expuneri în cadrul abordării bazate pe modele interne de rating </w:t>
            </w:r>
          </w:p>
        </w:tc>
        <w:tc>
          <w:tcPr>
            <w:tcW w:w="992" w:type="dxa"/>
          </w:tcPr>
          <w:p w14:paraId="665F959D" w14:textId="171AE120" w:rsidR="007C02BA" w:rsidRPr="000F57AA" w:rsidRDefault="007C02BA" w:rsidP="007C02B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C02BA" w:rsidRPr="00A05A6A" w14:paraId="1FB05212" w14:textId="77777777" w:rsidTr="0077559D">
        <w:trPr>
          <w:trHeight w:val="161"/>
        </w:trPr>
        <w:tc>
          <w:tcPr>
            <w:tcW w:w="1129" w:type="dxa"/>
          </w:tcPr>
          <w:p w14:paraId="0BBE8362" w14:textId="76FCC068" w:rsidR="007C02BA" w:rsidRPr="000F57AA" w:rsidRDefault="007C02BA" w:rsidP="007C02BA">
            <w:pPr>
              <w:ind w:right="90"/>
              <w:rPr>
                <w:sz w:val="22"/>
                <w:szCs w:val="22"/>
                <w:lang w:val="ro-RO" w:eastAsia="ru-RU"/>
                <w14:ligatures w14:val="standardContextual"/>
              </w:rPr>
            </w:pPr>
            <w:r w:rsidRPr="000F57AA">
              <w:rPr>
                <w:sz w:val="22"/>
                <w:szCs w:val="22"/>
                <w:lang w:val="ro-RO"/>
              </w:rPr>
              <w:t>{0200;0010}</w:t>
            </w:r>
          </w:p>
        </w:tc>
        <w:tc>
          <w:tcPr>
            <w:tcW w:w="8505" w:type="dxa"/>
            <w:gridSpan w:val="2"/>
          </w:tcPr>
          <w:p w14:paraId="596E407A" w14:textId="77777777" w:rsidR="007C02BA" w:rsidRPr="000F57AA" w:rsidRDefault="007C02BA" w:rsidP="00DB415B">
            <w:pPr>
              <w:ind w:right="90" w:firstLine="456"/>
              <w:rPr>
                <w:b/>
                <w:bCs/>
                <w:sz w:val="22"/>
                <w:szCs w:val="22"/>
                <w:lang w:val="ro-RO"/>
              </w:rPr>
            </w:pPr>
            <w:r w:rsidRPr="000F57AA">
              <w:rPr>
                <w:b/>
                <w:bCs/>
                <w:sz w:val="22"/>
                <w:szCs w:val="22"/>
                <w:lang w:val="ro-RO"/>
              </w:rPr>
              <w:t xml:space="preserve">Din care: Garantate cu ipoteci asupra bunurilor imobile locative – Valoarea expunerii pentru calcularea indicatorului efectului de levier – Expuneri în cadrul abordării standardizate </w:t>
            </w:r>
          </w:p>
          <w:p w14:paraId="75AC7B55" w14:textId="77777777" w:rsidR="007C02BA" w:rsidRPr="000F57AA" w:rsidRDefault="007C02BA"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garantate integral și pe deplin cu ipoteci asupra bunurilor imobile locative în cadrul abordării standardizate, astfel cum sunt prevăzute la pct.69-70 din Regulamentul nr.111/2018. </w:t>
            </w:r>
          </w:p>
          <w:p w14:paraId="26C2F150" w14:textId="7504651C" w:rsidR="007C02BA" w:rsidRPr="000F57AA" w:rsidRDefault="007C02B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C02BA" w:rsidRPr="000F57AA" w14:paraId="4ADCF525" w14:textId="77777777" w:rsidTr="0077559D">
        <w:trPr>
          <w:trHeight w:val="161"/>
        </w:trPr>
        <w:tc>
          <w:tcPr>
            <w:tcW w:w="1129" w:type="dxa"/>
          </w:tcPr>
          <w:p w14:paraId="0A285402" w14:textId="73FF7862" w:rsidR="007C02BA" w:rsidRPr="000F57AA" w:rsidRDefault="007C02BA" w:rsidP="007C02BA">
            <w:pPr>
              <w:ind w:right="90"/>
              <w:rPr>
                <w:sz w:val="22"/>
                <w:szCs w:val="22"/>
                <w:lang w:val="ro-RO" w:eastAsia="ru-RU"/>
                <w14:ligatures w14:val="standardContextual"/>
              </w:rPr>
            </w:pPr>
            <w:r w:rsidRPr="000F57AA">
              <w:rPr>
                <w:sz w:val="22"/>
                <w:szCs w:val="22"/>
                <w:lang w:val="ro-RO"/>
              </w:rPr>
              <w:t>{0200;0020}</w:t>
            </w:r>
          </w:p>
        </w:tc>
        <w:tc>
          <w:tcPr>
            <w:tcW w:w="7513" w:type="dxa"/>
          </w:tcPr>
          <w:p w14:paraId="516C08E6" w14:textId="43FD62A4" w:rsidR="007C02BA" w:rsidRPr="000F57AA" w:rsidRDefault="007C02BA" w:rsidP="00DB415B">
            <w:pPr>
              <w:ind w:right="90" w:firstLine="456"/>
              <w:rPr>
                <w:b/>
                <w:bCs/>
                <w:sz w:val="22"/>
                <w:szCs w:val="22"/>
                <w:lang w:val="ro-RO" w:eastAsia="ru-RU"/>
                <w14:ligatures w14:val="standardContextual"/>
              </w:rPr>
            </w:pPr>
            <w:r w:rsidRPr="000F57AA">
              <w:rPr>
                <w:b/>
                <w:bCs/>
                <w:sz w:val="22"/>
                <w:szCs w:val="22"/>
                <w:lang w:val="ro-RO"/>
              </w:rPr>
              <w:t xml:space="preserve">Din care: Garantate cu ipoteci asupra bunurilor imobile locative – Valoarea expunerii pentru calcularea indicatorului efectului de levier – Expuneri în cadrul abordării bazate pe modele interne de rating </w:t>
            </w:r>
          </w:p>
        </w:tc>
        <w:tc>
          <w:tcPr>
            <w:tcW w:w="992" w:type="dxa"/>
          </w:tcPr>
          <w:p w14:paraId="482B9416" w14:textId="14F35F48" w:rsidR="007C02BA" w:rsidRPr="000F57AA" w:rsidRDefault="007C02BA" w:rsidP="007C02B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C02BA" w:rsidRPr="00A05A6A" w14:paraId="5B0DA758" w14:textId="77777777" w:rsidTr="0077559D">
        <w:trPr>
          <w:trHeight w:val="161"/>
        </w:trPr>
        <w:tc>
          <w:tcPr>
            <w:tcW w:w="1129" w:type="dxa"/>
          </w:tcPr>
          <w:p w14:paraId="54F667B4" w14:textId="3D553FA4" w:rsidR="007C02BA" w:rsidRPr="000F57AA" w:rsidRDefault="007C02BA" w:rsidP="007C02BA">
            <w:pPr>
              <w:ind w:right="90"/>
              <w:rPr>
                <w:sz w:val="22"/>
                <w:szCs w:val="22"/>
                <w:lang w:val="ro-RO" w:eastAsia="ru-RU"/>
                <w14:ligatures w14:val="standardContextual"/>
              </w:rPr>
            </w:pPr>
            <w:r w:rsidRPr="000F57AA">
              <w:rPr>
                <w:sz w:val="22"/>
                <w:szCs w:val="22"/>
                <w:lang w:val="ro-RO"/>
              </w:rPr>
              <w:t>{0200;0030}</w:t>
            </w:r>
          </w:p>
        </w:tc>
        <w:tc>
          <w:tcPr>
            <w:tcW w:w="8505" w:type="dxa"/>
            <w:gridSpan w:val="2"/>
          </w:tcPr>
          <w:p w14:paraId="0A7739F2" w14:textId="77777777" w:rsidR="007C02BA" w:rsidRPr="000F57AA" w:rsidRDefault="007C02BA" w:rsidP="00DB415B">
            <w:pPr>
              <w:ind w:right="90" w:firstLine="456"/>
              <w:rPr>
                <w:sz w:val="22"/>
                <w:szCs w:val="22"/>
                <w:lang w:val="ro-RO"/>
              </w:rPr>
            </w:pPr>
            <w:r w:rsidRPr="000F57AA">
              <w:rPr>
                <w:b/>
                <w:bCs/>
                <w:sz w:val="22"/>
                <w:szCs w:val="22"/>
                <w:lang w:val="ro-RO"/>
              </w:rPr>
              <w:t xml:space="preserve">Din care: Garantate cu ipoteci asupra bunurilor imobile locative – Cuantumul ponderat la risc al expunerilor – Expuneri în cadrul abordării standardizate </w:t>
            </w:r>
            <w:r w:rsidRPr="000F57AA">
              <w:rPr>
                <w:sz w:val="22"/>
                <w:szCs w:val="22"/>
                <w:lang w:val="ro-RO"/>
              </w:rPr>
              <w:t xml:space="preserve">Cuantumul ponderat la risc al expunerii activelor care reprezintă expuneri garantate integral și pe deplin cu ipoteci asupra bunurilor imobile locative în cadrul abordării standardizate, astfel cum sunt prevăzute la pct.69-70 din Regulamentul nr.111/2018. </w:t>
            </w:r>
          </w:p>
          <w:p w14:paraId="0BF542BB" w14:textId="1AF6A859" w:rsidR="007C02BA" w:rsidRPr="000F57AA" w:rsidRDefault="007C02B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C02BA" w:rsidRPr="000F57AA" w14:paraId="6770D856" w14:textId="77777777" w:rsidTr="0077559D">
        <w:trPr>
          <w:trHeight w:val="161"/>
        </w:trPr>
        <w:tc>
          <w:tcPr>
            <w:tcW w:w="1129" w:type="dxa"/>
          </w:tcPr>
          <w:p w14:paraId="424F39C8" w14:textId="748C49C2" w:rsidR="007C02BA" w:rsidRPr="000F57AA" w:rsidRDefault="007C02BA" w:rsidP="007C02BA">
            <w:pPr>
              <w:ind w:right="90"/>
              <w:rPr>
                <w:sz w:val="22"/>
                <w:szCs w:val="22"/>
                <w:lang w:val="ro-RO" w:eastAsia="ru-RU"/>
                <w14:ligatures w14:val="standardContextual"/>
              </w:rPr>
            </w:pPr>
            <w:r w:rsidRPr="000F57AA">
              <w:rPr>
                <w:sz w:val="22"/>
                <w:szCs w:val="22"/>
                <w:lang w:val="ro-RO"/>
              </w:rPr>
              <w:t>{0200;0040}</w:t>
            </w:r>
          </w:p>
        </w:tc>
        <w:tc>
          <w:tcPr>
            <w:tcW w:w="7513" w:type="dxa"/>
          </w:tcPr>
          <w:p w14:paraId="601B6973" w14:textId="427F0775" w:rsidR="007C02BA" w:rsidRPr="000F57AA" w:rsidRDefault="007C02BA" w:rsidP="00DB415B">
            <w:pPr>
              <w:ind w:right="90" w:firstLine="456"/>
              <w:rPr>
                <w:b/>
                <w:bCs/>
                <w:sz w:val="22"/>
                <w:szCs w:val="22"/>
                <w:lang w:val="ro-RO" w:eastAsia="ru-RU"/>
                <w14:ligatures w14:val="standardContextual"/>
              </w:rPr>
            </w:pPr>
            <w:r w:rsidRPr="000F57AA">
              <w:rPr>
                <w:b/>
                <w:bCs/>
                <w:sz w:val="22"/>
                <w:szCs w:val="22"/>
                <w:lang w:val="ro-RO"/>
              </w:rPr>
              <w:t xml:space="preserve">Din care: Garantate cu ipoteci asupra bunurilor imobile locative – Cuantumul ponderat la risc al expunerilor – Expuneri în cadrul abordării bazate pe modele interne de rating </w:t>
            </w:r>
          </w:p>
        </w:tc>
        <w:tc>
          <w:tcPr>
            <w:tcW w:w="992" w:type="dxa"/>
          </w:tcPr>
          <w:p w14:paraId="74687C2E" w14:textId="30E46021" w:rsidR="007C02BA" w:rsidRPr="000F57AA" w:rsidRDefault="007C02BA" w:rsidP="007C02B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C02BA" w:rsidRPr="00A05A6A" w14:paraId="62EC838E" w14:textId="77777777" w:rsidTr="0077559D">
        <w:trPr>
          <w:trHeight w:val="161"/>
        </w:trPr>
        <w:tc>
          <w:tcPr>
            <w:tcW w:w="1129" w:type="dxa"/>
          </w:tcPr>
          <w:p w14:paraId="3374D915" w14:textId="12160388" w:rsidR="007C02BA" w:rsidRPr="000F57AA" w:rsidRDefault="007C02BA" w:rsidP="007C02BA">
            <w:pPr>
              <w:ind w:right="90"/>
              <w:rPr>
                <w:sz w:val="22"/>
                <w:szCs w:val="22"/>
                <w:lang w:val="ro-RO" w:eastAsia="ru-RU"/>
                <w14:ligatures w14:val="standardContextual"/>
              </w:rPr>
            </w:pPr>
            <w:r w:rsidRPr="000F57AA">
              <w:rPr>
                <w:sz w:val="22"/>
                <w:szCs w:val="22"/>
                <w:lang w:val="ro-RO"/>
              </w:rPr>
              <w:t>{0210;0010}</w:t>
            </w:r>
          </w:p>
        </w:tc>
        <w:tc>
          <w:tcPr>
            <w:tcW w:w="8505" w:type="dxa"/>
            <w:gridSpan w:val="2"/>
          </w:tcPr>
          <w:p w14:paraId="7192468E" w14:textId="77777777" w:rsidR="007C02BA" w:rsidRPr="000F57AA" w:rsidRDefault="007C02BA" w:rsidP="00DB415B">
            <w:pPr>
              <w:ind w:right="90" w:firstLine="456"/>
              <w:rPr>
                <w:b/>
                <w:bCs/>
                <w:sz w:val="22"/>
                <w:szCs w:val="22"/>
                <w:lang w:val="ro-RO"/>
              </w:rPr>
            </w:pPr>
            <w:r w:rsidRPr="000F57AA">
              <w:rPr>
                <w:b/>
                <w:bCs/>
                <w:sz w:val="22"/>
                <w:szCs w:val="22"/>
                <w:lang w:val="ro-RO"/>
              </w:rPr>
              <w:t xml:space="preserve">Expuneri de tip retail – Valoarea expunerii pentru calcularea indicatorului efectului de levier – Expuneri în cadrul abordării standardizate </w:t>
            </w:r>
          </w:p>
          <w:p w14:paraId="13A9A0BD" w14:textId="77777777" w:rsidR="007C02BA" w:rsidRPr="000F57AA" w:rsidRDefault="007C02BA" w:rsidP="00DB415B">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de tip retail în cadrul abordării standardizate, astfel cum sunt prevăzute la pct.61-64 din Regulamentul nr.111/2018. </w:t>
            </w:r>
          </w:p>
          <w:p w14:paraId="24B8DC6A" w14:textId="6D881C8B" w:rsidR="007C02BA" w:rsidRPr="000F57AA" w:rsidRDefault="007C02BA" w:rsidP="00DB415B">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7C02BA" w:rsidRPr="000F57AA" w14:paraId="58B1EA9E" w14:textId="77777777" w:rsidTr="0077559D">
        <w:trPr>
          <w:trHeight w:val="161"/>
        </w:trPr>
        <w:tc>
          <w:tcPr>
            <w:tcW w:w="1129" w:type="dxa"/>
          </w:tcPr>
          <w:p w14:paraId="5CD7D968" w14:textId="4A01C9D5" w:rsidR="007C02BA" w:rsidRPr="000F57AA" w:rsidRDefault="007C02BA" w:rsidP="007C02BA">
            <w:pPr>
              <w:ind w:right="90"/>
              <w:rPr>
                <w:sz w:val="22"/>
                <w:szCs w:val="22"/>
                <w:lang w:val="ro-RO" w:eastAsia="ru-RU"/>
                <w14:ligatures w14:val="standardContextual"/>
              </w:rPr>
            </w:pPr>
            <w:r w:rsidRPr="000F57AA">
              <w:rPr>
                <w:sz w:val="22"/>
                <w:szCs w:val="22"/>
                <w:lang w:val="ro-RO"/>
              </w:rPr>
              <w:t>{0210;0020}</w:t>
            </w:r>
          </w:p>
        </w:tc>
        <w:tc>
          <w:tcPr>
            <w:tcW w:w="7513" w:type="dxa"/>
          </w:tcPr>
          <w:p w14:paraId="342BCCA2" w14:textId="03A4B50C" w:rsidR="007C02BA" w:rsidRPr="000F57AA" w:rsidRDefault="007C02BA" w:rsidP="0009183C">
            <w:pPr>
              <w:ind w:right="90" w:firstLine="456"/>
              <w:rPr>
                <w:b/>
                <w:bCs/>
                <w:sz w:val="22"/>
                <w:szCs w:val="22"/>
                <w:lang w:val="ro-RO" w:eastAsia="ru-RU"/>
                <w14:ligatures w14:val="standardContextual"/>
              </w:rPr>
            </w:pPr>
            <w:r w:rsidRPr="000F57AA">
              <w:rPr>
                <w:b/>
                <w:bCs/>
                <w:sz w:val="22"/>
                <w:szCs w:val="22"/>
                <w:lang w:val="ro-RO"/>
              </w:rPr>
              <w:t xml:space="preserve">Expuneri de tip retail – Valoarea expunerii pentru calcularea indicatorului efectului de levier – Expuneri în cadrul abordării bazate pe modele interne de rating </w:t>
            </w:r>
          </w:p>
        </w:tc>
        <w:tc>
          <w:tcPr>
            <w:tcW w:w="992" w:type="dxa"/>
          </w:tcPr>
          <w:p w14:paraId="5FBC5FBE" w14:textId="0F2033A3" w:rsidR="007C02BA" w:rsidRPr="000F57AA" w:rsidRDefault="007C02BA" w:rsidP="007C02BA">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7C02BA" w:rsidRPr="00A05A6A" w14:paraId="7B30CB6E" w14:textId="77777777" w:rsidTr="0077559D">
        <w:trPr>
          <w:trHeight w:val="161"/>
        </w:trPr>
        <w:tc>
          <w:tcPr>
            <w:tcW w:w="1129" w:type="dxa"/>
          </w:tcPr>
          <w:p w14:paraId="1EBCADB9" w14:textId="1D0CB356" w:rsidR="007C02BA" w:rsidRPr="000F57AA" w:rsidRDefault="007C02BA" w:rsidP="007C02BA">
            <w:pPr>
              <w:ind w:right="90"/>
              <w:rPr>
                <w:sz w:val="22"/>
                <w:szCs w:val="22"/>
                <w:lang w:val="ro-RO" w:eastAsia="ru-RU"/>
                <w14:ligatures w14:val="standardContextual"/>
              </w:rPr>
            </w:pPr>
            <w:r w:rsidRPr="000F57AA">
              <w:rPr>
                <w:sz w:val="22"/>
                <w:szCs w:val="22"/>
                <w:lang w:val="ro-RO"/>
              </w:rPr>
              <w:t>{0210;0030}</w:t>
            </w:r>
          </w:p>
        </w:tc>
        <w:tc>
          <w:tcPr>
            <w:tcW w:w="8505" w:type="dxa"/>
            <w:gridSpan w:val="2"/>
          </w:tcPr>
          <w:p w14:paraId="08744D9D" w14:textId="77777777" w:rsidR="000F57AA" w:rsidRDefault="007C02BA" w:rsidP="0009183C">
            <w:pPr>
              <w:ind w:right="90" w:firstLine="456"/>
              <w:rPr>
                <w:b/>
                <w:bCs/>
                <w:sz w:val="22"/>
                <w:szCs w:val="22"/>
                <w:lang w:val="ro-RO"/>
              </w:rPr>
            </w:pPr>
            <w:r w:rsidRPr="000F57AA">
              <w:rPr>
                <w:b/>
                <w:bCs/>
                <w:sz w:val="22"/>
                <w:szCs w:val="22"/>
                <w:lang w:val="ro-RO"/>
              </w:rPr>
              <w:t xml:space="preserve">Expuneri de tip retail – Cuantumul ponderat la risc al expunerilor – Expuneri în cadrul abordării standardizate </w:t>
            </w:r>
          </w:p>
          <w:p w14:paraId="0B48BE3E" w14:textId="4541CD78" w:rsidR="007C02BA" w:rsidRPr="000F57AA" w:rsidRDefault="007C02BA" w:rsidP="0009183C">
            <w:pPr>
              <w:ind w:right="90" w:firstLine="456"/>
              <w:rPr>
                <w:sz w:val="22"/>
                <w:szCs w:val="22"/>
                <w:lang w:val="ro-RO"/>
              </w:rPr>
            </w:pPr>
            <w:r w:rsidRPr="000F57AA">
              <w:rPr>
                <w:sz w:val="22"/>
                <w:szCs w:val="22"/>
                <w:lang w:val="ro-RO"/>
              </w:rPr>
              <w:t xml:space="preserve">Cuantumul ponderat la risc al expunerii activelor care reprezintă expuneri de tip retail în cadrul abordării standardizate, astfel cum sunt prevăzute la pct.61-64 din Regulamentul nr.111/2018. </w:t>
            </w:r>
          </w:p>
          <w:p w14:paraId="47614F6C" w14:textId="00B6F564" w:rsidR="007C02BA" w:rsidRPr="000F57AA" w:rsidRDefault="007C02BA"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B24353" w:rsidRPr="000F57AA" w14:paraId="1DA83342" w14:textId="77777777" w:rsidTr="0077559D">
        <w:trPr>
          <w:trHeight w:val="161"/>
        </w:trPr>
        <w:tc>
          <w:tcPr>
            <w:tcW w:w="1129" w:type="dxa"/>
          </w:tcPr>
          <w:p w14:paraId="6C8C44D3" w14:textId="7AD54BA9" w:rsidR="00B24353" w:rsidRPr="000F57AA" w:rsidRDefault="00B24353" w:rsidP="00B24353">
            <w:pPr>
              <w:ind w:right="90"/>
              <w:rPr>
                <w:sz w:val="22"/>
                <w:szCs w:val="22"/>
                <w:lang w:val="ro-RO" w:eastAsia="ru-RU"/>
                <w14:ligatures w14:val="standardContextual"/>
              </w:rPr>
            </w:pPr>
            <w:r w:rsidRPr="000F57AA">
              <w:rPr>
                <w:sz w:val="22"/>
                <w:szCs w:val="22"/>
                <w:lang w:val="ro-RO"/>
              </w:rPr>
              <w:t>{0210;0040}</w:t>
            </w:r>
          </w:p>
        </w:tc>
        <w:tc>
          <w:tcPr>
            <w:tcW w:w="7513" w:type="dxa"/>
          </w:tcPr>
          <w:p w14:paraId="3BBCC6CB" w14:textId="2EC19C7E" w:rsidR="00B24353" w:rsidRPr="000F57AA" w:rsidRDefault="00B24353" w:rsidP="0009183C">
            <w:pPr>
              <w:ind w:right="90" w:firstLine="456"/>
              <w:rPr>
                <w:b/>
                <w:bCs/>
                <w:sz w:val="22"/>
                <w:szCs w:val="22"/>
                <w:lang w:val="ro-RO" w:eastAsia="ru-RU"/>
                <w14:ligatures w14:val="standardContextual"/>
              </w:rPr>
            </w:pPr>
            <w:r w:rsidRPr="000F57AA">
              <w:rPr>
                <w:b/>
                <w:bCs/>
                <w:sz w:val="22"/>
                <w:szCs w:val="22"/>
                <w:lang w:val="ro-RO"/>
              </w:rPr>
              <w:t>Expuneri de tip retail – Cuantumul ponderat la risc al expunerilor – Expuneri în cadrul abordării bazate pe modele interne de rating</w:t>
            </w:r>
          </w:p>
        </w:tc>
        <w:tc>
          <w:tcPr>
            <w:tcW w:w="992" w:type="dxa"/>
          </w:tcPr>
          <w:p w14:paraId="5C394F68" w14:textId="43E463B4" w:rsidR="00B24353" w:rsidRPr="000F57AA" w:rsidRDefault="00B24353" w:rsidP="00B24353">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6A201C70" w14:textId="77777777" w:rsidTr="0077559D">
        <w:trPr>
          <w:trHeight w:val="161"/>
        </w:trPr>
        <w:tc>
          <w:tcPr>
            <w:tcW w:w="1129" w:type="dxa"/>
          </w:tcPr>
          <w:p w14:paraId="52CB54D5" w14:textId="4409EDE7" w:rsidR="001A0263" w:rsidRPr="000F57AA" w:rsidRDefault="001A0263" w:rsidP="001A0263">
            <w:pPr>
              <w:ind w:right="90"/>
              <w:rPr>
                <w:sz w:val="22"/>
                <w:szCs w:val="22"/>
                <w:lang w:val="ro-RO" w:eastAsia="ru-RU"/>
                <w14:ligatures w14:val="standardContextual"/>
              </w:rPr>
            </w:pPr>
            <w:r w:rsidRPr="000F57AA">
              <w:rPr>
                <w:sz w:val="22"/>
                <w:szCs w:val="22"/>
                <w:lang w:val="ro-RO"/>
              </w:rPr>
              <w:t>{0220;0010}</w:t>
            </w:r>
          </w:p>
        </w:tc>
        <w:tc>
          <w:tcPr>
            <w:tcW w:w="8505" w:type="dxa"/>
            <w:gridSpan w:val="2"/>
          </w:tcPr>
          <w:p w14:paraId="1063C61C" w14:textId="77777777" w:rsidR="00277BFE" w:rsidRPr="000F57AA" w:rsidRDefault="001A0263" w:rsidP="0009183C">
            <w:pPr>
              <w:ind w:right="90" w:firstLine="456"/>
              <w:rPr>
                <w:b/>
                <w:bCs/>
                <w:sz w:val="22"/>
                <w:szCs w:val="22"/>
                <w:lang w:val="ro-RO"/>
              </w:rPr>
            </w:pPr>
            <w:r w:rsidRPr="000F57AA">
              <w:rPr>
                <w:b/>
                <w:bCs/>
                <w:sz w:val="22"/>
                <w:szCs w:val="22"/>
                <w:lang w:val="ro-RO"/>
              </w:rPr>
              <w:t xml:space="preserve">Din care: Expuneri de tip retail faţă de IMM-uri – Valoarea expunerii pentru calcularea indicatorului efectului de levier – Expuneri în cadrul abordării standardizate </w:t>
            </w:r>
          </w:p>
          <w:p w14:paraId="4BF89327" w14:textId="21F6B3FD" w:rsidR="001A0263" w:rsidRPr="000F57AA" w:rsidRDefault="001A0263" w:rsidP="0009183C">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de tip retail faţă de întreprinderi mici și mijlocii în cadrul abordării standardizate, astfel cum sunt prevăzute la pct.61-64 din Regulamentul nr.111/2018. </w:t>
            </w:r>
          </w:p>
          <w:p w14:paraId="1A323003" w14:textId="77777777" w:rsidR="001A0263" w:rsidRPr="000F57AA" w:rsidRDefault="001A0263" w:rsidP="0009183C">
            <w:pPr>
              <w:ind w:right="90" w:firstLine="456"/>
              <w:rPr>
                <w:sz w:val="22"/>
                <w:szCs w:val="22"/>
                <w:lang w:val="ro-RO"/>
              </w:rPr>
            </w:pPr>
            <w:r w:rsidRPr="000F57AA">
              <w:rPr>
                <w:sz w:val="22"/>
                <w:szCs w:val="22"/>
                <w:lang w:val="ro-RO"/>
              </w:rPr>
              <w:t xml:space="preserve">În sensul acestei celule, băncile utilizează noţiunea de „întreprindere mică sau mijlocie” astfel cum este definită la pct.96 subpct.2) din Regulamentul nr.111/2018 . </w:t>
            </w:r>
          </w:p>
          <w:p w14:paraId="5D824864" w14:textId="1268ABB3" w:rsidR="001A0263" w:rsidRPr="000F57AA" w:rsidRDefault="001A0263"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A0263" w:rsidRPr="000F57AA" w14:paraId="038B1CC9" w14:textId="77777777" w:rsidTr="0077559D">
        <w:trPr>
          <w:trHeight w:val="161"/>
        </w:trPr>
        <w:tc>
          <w:tcPr>
            <w:tcW w:w="1129" w:type="dxa"/>
          </w:tcPr>
          <w:p w14:paraId="2C922F09" w14:textId="62DA3117" w:rsidR="001A0263" w:rsidRPr="000F57AA" w:rsidRDefault="001A0263" w:rsidP="001A0263">
            <w:pPr>
              <w:ind w:right="90"/>
              <w:rPr>
                <w:sz w:val="22"/>
                <w:szCs w:val="22"/>
                <w:lang w:val="ro-RO" w:eastAsia="ru-RU"/>
                <w14:ligatures w14:val="standardContextual"/>
              </w:rPr>
            </w:pPr>
            <w:r w:rsidRPr="000F57AA">
              <w:rPr>
                <w:sz w:val="22"/>
                <w:szCs w:val="22"/>
                <w:lang w:val="ro-RO"/>
              </w:rPr>
              <w:lastRenderedPageBreak/>
              <w:t>{0220;0020}</w:t>
            </w:r>
          </w:p>
        </w:tc>
        <w:tc>
          <w:tcPr>
            <w:tcW w:w="7513" w:type="dxa"/>
          </w:tcPr>
          <w:p w14:paraId="4C9317D5" w14:textId="20B0C337" w:rsidR="001A0263" w:rsidRPr="000F57AA" w:rsidRDefault="001A0263" w:rsidP="0009183C">
            <w:pPr>
              <w:ind w:right="90" w:firstLine="456"/>
              <w:rPr>
                <w:b/>
                <w:bCs/>
                <w:sz w:val="22"/>
                <w:szCs w:val="22"/>
                <w:lang w:val="ro-RO" w:eastAsia="ru-RU"/>
                <w14:ligatures w14:val="standardContextual"/>
              </w:rPr>
            </w:pPr>
            <w:r w:rsidRPr="000F57AA">
              <w:rPr>
                <w:b/>
                <w:bCs/>
                <w:sz w:val="22"/>
                <w:szCs w:val="22"/>
                <w:lang w:val="ro-RO"/>
              </w:rPr>
              <w:t xml:space="preserve">Din care: Expuneri de tip retail faţă de IMM-uri – Valoarea expunerii pentru calcularea indicatorului efectului de levier – Expuneri în cadrul abordării bazate pe modele interne de rating </w:t>
            </w:r>
          </w:p>
        </w:tc>
        <w:tc>
          <w:tcPr>
            <w:tcW w:w="992" w:type="dxa"/>
          </w:tcPr>
          <w:p w14:paraId="7F232D3B" w14:textId="74F23729" w:rsidR="001A0263" w:rsidRPr="000F57AA" w:rsidRDefault="001A0263" w:rsidP="001A0263">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52636DB5" w14:textId="77777777" w:rsidTr="0077559D">
        <w:trPr>
          <w:trHeight w:val="161"/>
        </w:trPr>
        <w:tc>
          <w:tcPr>
            <w:tcW w:w="1129" w:type="dxa"/>
          </w:tcPr>
          <w:p w14:paraId="26ED881A" w14:textId="7A844338" w:rsidR="001A0263" w:rsidRPr="000F57AA" w:rsidRDefault="001A0263" w:rsidP="001A0263">
            <w:pPr>
              <w:ind w:right="90"/>
              <w:rPr>
                <w:sz w:val="22"/>
                <w:szCs w:val="22"/>
                <w:lang w:val="ro-RO" w:eastAsia="ru-RU"/>
                <w14:ligatures w14:val="standardContextual"/>
              </w:rPr>
            </w:pPr>
            <w:r w:rsidRPr="000F57AA">
              <w:rPr>
                <w:sz w:val="22"/>
                <w:szCs w:val="22"/>
                <w:lang w:val="ro-RO"/>
              </w:rPr>
              <w:t>{0220;0030}</w:t>
            </w:r>
          </w:p>
        </w:tc>
        <w:tc>
          <w:tcPr>
            <w:tcW w:w="8505" w:type="dxa"/>
            <w:gridSpan w:val="2"/>
          </w:tcPr>
          <w:p w14:paraId="3F13BEFE" w14:textId="77777777" w:rsidR="001A0263" w:rsidRPr="000F57AA" w:rsidRDefault="001A0263" w:rsidP="0009183C">
            <w:pPr>
              <w:ind w:right="90" w:firstLine="456"/>
              <w:rPr>
                <w:b/>
                <w:bCs/>
                <w:sz w:val="22"/>
                <w:szCs w:val="22"/>
                <w:lang w:val="ro-RO"/>
              </w:rPr>
            </w:pPr>
            <w:r w:rsidRPr="000F57AA">
              <w:rPr>
                <w:b/>
                <w:bCs/>
                <w:sz w:val="22"/>
                <w:szCs w:val="22"/>
                <w:lang w:val="ro-RO"/>
              </w:rPr>
              <w:t xml:space="preserve">Din care: Expuneri de tip retail faţă de IMM-uri – Cuantumul ponderat la risc al expunerilor – Expuneri în cadrul abordării standardizate </w:t>
            </w:r>
          </w:p>
          <w:p w14:paraId="7392F5A8" w14:textId="77777777" w:rsidR="001A0263" w:rsidRPr="000F57AA" w:rsidRDefault="001A0263" w:rsidP="0009183C">
            <w:pPr>
              <w:ind w:right="90" w:firstLine="456"/>
              <w:rPr>
                <w:sz w:val="22"/>
                <w:szCs w:val="22"/>
                <w:lang w:val="ro-RO"/>
              </w:rPr>
            </w:pPr>
            <w:r w:rsidRPr="000F57AA">
              <w:rPr>
                <w:sz w:val="22"/>
                <w:szCs w:val="22"/>
                <w:lang w:val="ro-RO"/>
              </w:rPr>
              <w:t xml:space="preserve">Cuantumul ponderat la risc al expunerii activelor care reprezintă expuneri de tip retail faţă de întreprinderi mici și mijlocii în cadrul abordării standardizate, astfel cum sunt prevăzute la pct.61-64 din Regulamentul nr.111/2018. </w:t>
            </w:r>
          </w:p>
          <w:p w14:paraId="67E710A3" w14:textId="77777777" w:rsidR="001A0263" w:rsidRPr="000F57AA" w:rsidRDefault="001A0263" w:rsidP="0009183C">
            <w:pPr>
              <w:ind w:right="90" w:firstLine="456"/>
              <w:rPr>
                <w:sz w:val="22"/>
                <w:szCs w:val="22"/>
                <w:lang w:val="ro-RO"/>
              </w:rPr>
            </w:pPr>
            <w:r w:rsidRPr="000F57AA">
              <w:rPr>
                <w:sz w:val="22"/>
                <w:szCs w:val="22"/>
                <w:lang w:val="ro-RO"/>
              </w:rPr>
              <w:t xml:space="preserve">În sensul acestei celule, băncile utilizează noţiunea de „întreprindere mică sau mijlocie” astfel cum este definită la pct.96 subpct.2) din Regulamentul nr.111/2018. </w:t>
            </w:r>
          </w:p>
          <w:p w14:paraId="018B26FD" w14:textId="2676188E" w:rsidR="001A0263" w:rsidRPr="000F57AA" w:rsidRDefault="001A0263"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A0263" w:rsidRPr="000F57AA" w14:paraId="2581A96B" w14:textId="77777777" w:rsidTr="0077559D">
        <w:trPr>
          <w:trHeight w:val="161"/>
        </w:trPr>
        <w:tc>
          <w:tcPr>
            <w:tcW w:w="1129" w:type="dxa"/>
          </w:tcPr>
          <w:p w14:paraId="2BB294E9" w14:textId="61BF6180" w:rsidR="001A0263" w:rsidRPr="000F57AA" w:rsidRDefault="001A0263" w:rsidP="001A0263">
            <w:pPr>
              <w:ind w:right="90"/>
              <w:rPr>
                <w:sz w:val="22"/>
                <w:szCs w:val="22"/>
                <w:lang w:val="ro-RO" w:eastAsia="ru-RU"/>
                <w14:ligatures w14:val="standardContextual"/>
              </w:rPr>
            </w:pPr>
            <w:r w:rsidRPr="000F57AA">
              <w:rPr>
                <w:sz w:val="22"/>
                <w:szCs w:val="22"/>
                <w:lang w:val="ro-RO"/>
              </w:rPr>
              <w:t>{0220;0040}</w:t>
            </w:r>
          </w:p>
        </w:tc>
        <w:tc>
          <w:tcPr>
            <w:tcW w:w="7513" w:type="dxa"/>
          </w:tcPr>
          <w:p w14:paraId="7FB91DAB" w14:textId="2303074B" w:rsidR="001A0263" w:rsidRPr="000F57AA" w:rsidRDefault="001A0263" w:rsidP="0009183C">
            <w:pPr>
              <w:ind w:right="90" w:firstLine="456"/>
              <w:rPr>
                <w:b/>
                <w:bCs/>
                <w:sz w:val="22"/>
                <w:szCs w:val="22"/>
                <w:lang w:val="ro-RO" w:eastAsia="ru-RU"/>
                <w14:ligatures w14:val="standardContextual"/>
              </w:rPr>
            </w:pPr>
            <w:r w:rsidRPr="000F57AA">
              <w:rPr>
                <w:b/>
                <w:bCs/>
                <w:sz w:val="22"/>
                <w:szCs w:val="22"/>
                <w:lang w:val="ro-RO"/>
              </w:rPr>
              <w:t xml:space="preserve">Din care: Expuneri de tip retail faţă de IMM-uri – Cuantumul ponderat la risc al expunerilor – Expuneri în cadrul abordării bazate pe modele interne de rating </w:t>
            </w:r>
          </w:p>
        </w:tc>
        <w:tc>
          <w:tcPr>
            <w:tcW w:w="992" w:type="dxa"/>
          </w:tcPr>
          <w:p w14:paraId="7D078B8D" w14:textId="00E0ADB7" w:rsidR="001A0263" w:rsidRPr="000F57AA" w:rsidRDefault="001A0263" w:rsidP="001A0263">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4B3B6AC8" w14:textId="77777777" w:rsidTr="0077559D">
        <w:trPr>
          <w:trHeight w:val="161"/>
        </w:trPr>
        <w:tc>
          <w:tcPr>
            <w:tcW w:w="1129" w:type="dxa"/>
          </w:tcPr>
          <w:p w14:paraId="36EA3DF0" w14:textId="7A5CC862" w:rsidR="001A0263" w:rsidRPr="000F57AA" w:rsidRDefault="001A0263" w:rsidP="001A0263">
            <w:pPr>
              <w:ind w:right="90"/>
              <w:rPr>
                <w:sz w:val="22"/>
                <w:szCs w:val="22"/>
                <w:lang w:val="ro-RO" w:eastAsia="ru-RU"/>
                <w14:ligatures w14:val="standardContextual"/>
              </w:rPr>
            </w:pPr>
            <w:r w:rsidRPr="000F57AA">
              <w:rPr>
                <w:sz w:val="22"/>
                <w:szCs w:val="22"/>
                <w:lang w:val="ro-RO"/>
              </w:rPr>
              <w:t>{0230;0010}</w:t>
            </w:r>
          </w:p>
        </w:tc>
        <w:tc>
          <w:tcPr>
            <w:tcW w:w="8505" w:type="dxa"/>
            <w:gridSpan w:val="2"/>
          </w:tcPr>
          <w:p w14:paraId="3F4B7570" w14:textId="77777777" w:rsidR="0009183C" w:rsidRPr="000F57AA" w:rsidRDefault="001A0263" w:rsidP="001A0263">
            <w:pPr>
              <w:ind w:right="90" w:firstLine="530"/>
              <w:rPr>
                <w:b/>
                <w:bCs/>
                <w:sz w:val="22"/>
                <w:szCs w:val="22"/>
                <w:lang w:val="ro-RO"/>
              </w:rPr>
            </w:pPr>
            <w:r w:rsidRPr="000F57AA">
              <w:rPr>
                <w:b/>
                <w:bCs/>
                <w:sz w:val="22"/>
                <w:szCs w:val="22"/>
                <w:lang w:val="ro-RO"/>
              </w:rPr>
              <w:t xml:space="preserve">Societăţi – Valoarea expunerii pentru calcularea indicatorului efectului de levier – Expuneri în cadrul abordării standardizate </w:t>
            </w:r>
          </w:p>
          <w:p w14:paraId="3BC6E8F7" w14:textId="77777777" w:rsidR="0009183C" w:rsidRPr="000F57AA" w:rsidRDefault="001A0263" w:rsidP="001A0263">
            <w:pPr>
              <w:ind w:right="90" w:firstLine="530"/>
              <w:rPr>
                <w:sz w:val="22"/>
                <w:szCs w:val="22"/>
                <w:lang w:val="ro-RO"/>
              </w:rPr>
            </w:pPr>
            <w:r w:rsidRPr="000F57AA">
              <w:rPr>
                <w:sz w:val="22"/>
                <w:szCs w:val="22"/>
                <w:lang w:val="ro-RO"/>
              </w:rPr>
              <w:t xml:space="preserve">Suma celulelor {0240,0010} și {0250,0010}. </w:t>
            </w:r>
          </w:p>
          <w:p w14:paraId="5356FD2C" w14:textId="5E81FCAA" w:rsidR="001A0263" w:rsidRPr="000F57AA" w:rsidRDefault="001A0263" w:rsidP="001A0263">
            <w:pPr>
              <w:ind w:right="90" w:firstLine="530"/>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A0263" w:rsidRPr="000F57AA" w14:paraId="50EC4246" w14:textId="77777777" w:rsidTr="0077559D">
        <w:trPr>
          <w:trHeight w:val="161"/>
        </w:trPr>
        <w:tc>
          <w:tcPr>
            <w:tcW w:w="1129" w:type="dxa"/>
          </w:tcPr>
          <w:p w14:paraId="03919BB5" w14:textId="4772E9CA" w:rsidR="001A0263" w:rsidRPr="000F57AA" w:rsidRDefault="001A0263" w:rsidP="001A0263">
            <w:pPr>
              <w:ind w:right="90"/>
              <w:rPr>
                <w:sz w:val="22"/>
                <w:szCs w:val="22"/>
                <w:lang w:val="ro-RO" w:eastAsia="ru-RU"/>
                <w14:ligatures w14:val="standardContextual"/>
              </w:rPr>
            </w:pPr>
            <w:r w:rsidRPr="000F57AA">
              <w:rPr>
                <w:sz w:val="22"/>
                <w:szCs w:val="22"/>
                <w:lang w:val="ro-RO"/>
              </w:rPr>
              <w:t>{0230;0020}</w:t>
            </w:r>
          </w:p>
        </w:tc>
        <w:tc>
          <w:tcPr>
            <w:tcW w:w="7513" w:type="dxa"/>
          </w:tcPr>
          <w:p w14:paraId="2A686F5E" w14:textId="27A5C439" w:rsidR="001A0263" w:rsidRPr="000F57AA" w:rsidRDefault="001A0263" w:rsidP="0009183C">
            <w:pPr>
              <w:ind w:right="90" w:firstLine="598"/>
              <w:rPr>
                <w:b/>
                <w:bCs/>
                <w:sz w:val="22"/>
                <w:szCs w:val="22"/>
                <w:lang w:val="ro-RO" w:eastAsia="ru-RU"/>
                <w14:ligatures w14:val="standardContextual"/>
              </w:rPr>
            </w:pPr>
            <w:r w:rsidRPr="000F57AA">
              <w:rPr>
                <w:b/>
                <w:bCs/>
                <w:sz w:val="22"/>
                <w:szCs w:val="22"/>
                <w:lang w:val="ro-RO"/>
              </w:rPr>
              <w:t xml:space="preserve">Societăţi – Valoarea expunerii pentru calcularea indicatorului efectului de levier – Expuneri în cadrul abordării bazate pe modele interne de rating </w:t>
            </w:r>
          </w:p>
        </w:tc>
        <w:tc>
          <w:tcPr>
            <w:tcW w:w="992" w:type="dxa"/>
          </w:tcPr>
          <w:p w14:paraId="040F102D" w14:textId="7B59701D" w:rsidR="001A0263" w:rsidRPr="000F57AA" w:rsidRDefault="0009183C" w:rsidP="0009183C">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5F420DF2" w14:textId="77777777" w:rsidTr="0077559D">
        <w:trPr>
          <w:trHeight w:val="161"/>
        </w:trPr>
        <w:tc>
          <w:tcPr>
            <w:tcW w:w="1129" w:type="dxa"/>
          </w:tcPr>
          <w:p w14:paraId="669F8008" w14:textId="2EB22439" w:rsidR="001A0263" w:rsidRPr="000F57AA" w:rsidRDefault="001A0263" w:rsidP="001A0263">
            <w:pPr>
              <w:ind w:right="90"/>
              <w:rPr>
                <w:sz w:val="22"/>
                <w:szCs w:val="22"/>
                <w:lang w:val="ro-RO" w:eastAsia="ru-RU"/>
                <w14:ligatures w14:val="standardContextual"/>
              </w:rPr>
            </w:pPr>
            <w:r w:rsidRPr="000F57AA">
              <w:rPr>
                <w:sz w:val="22"/>
                <w:szCs w:val="22"/>
                <w:lang w:val="ro-RO"/>
              </w:rPr>
              <w:t>{0230;0030}</w:t>
            </w:r>
          </w:p>
        </w:tc>
        <w:tc>
          <w:tcPr>
            <w:tcW w:w="8505" w:type="dxa"/>
            <w:gridSpan w:val="2"/>
          </w:tcPr>
          <w:p w14:paraId="032471CE" w14:textId="77777777" w:rsidR="001A0263" w:rsidRPr="000F57AA" w:rsidRDefault="001A0263" w:rsidP="0009183C">
            <w:pPr>
              <w:ind w:right="90" w:firstLine="598"/>
              <w:rPr>
                <w:b/>
                <w:bCs/>
                <w:sz w:val="22"/>
                <w:szCs w:val="22"/>
                <w:lang w:val="ro-RO"/>
              </w:rPr>
            </w:pPr>
            <w:r w:rsidRPr="000F57AA">
              <w:rPr>
                <w:b/>
                <w:bCs/>
                <w:sz w:val="22"/>
                <w:szCs w:val="22"/>
                <w:lang w:val="ro-RO"/>
              </w:rPr>
              <w:t xml:space="preserve">Societăţi – Cuantumul ponderat la risc al expunerilor – Expuneri în cadrul abordării standardizate </w:t>
            </w:r>
          </w:p>
          <w:p w14:paraId="0CCAC6CF" w14:textId="77777777" w:rsidR="0009183C" w:rsidRPr="000F57AA" w:rsidRDefault="001A0263" w:rsidP="0009183C">
            <w:pPr>
              <w:ind w:right="90" w:firstLine="598"/>
              <w:rPr>
                <w:sz w:val="22"/>
                <w:szCs w:val="22"/>
                <w:lang w:val="ro-RO"/>
              </w:rPr>
            </w:pPr>
            <w:r w:rsidRPr="000F57AA">
              <w:rPr>
                <w:sz w:val="22"/>
                <w:szCs w:val="22"/>
                <w:lang w:val="ro-RO"/>
              </w:rPr>
              <w:t xml:space="preserve">Suma celulelor {0240,0030} și {0250,0030}. </w:t>
            </w:r>
          </w:p>
          <w:p w14:paraId="0FFFB150" w14:textId="627710C2" w:rsidR="001A0263" w:rsidRPr="000F57AA" w:rsidRDefault="001A0263" w:rsidP="0009183C">
            <w:pPr>
              <w:ind w:right="90" w:firstLine="598"/>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A0263" w:rsidRPr="000F57AA" w14:paraId="5550329D" w14:textId="77777777" w:rsidTr="0077559D">
        <w:trPr>
          <w:trHeight w:val="161"/>
        </w:trPr>
        <w:tc>
          <w:tcPr>
            <w:tcW w:w="1129" w:type="dxa"/>
          </w:tcPr>
          <w:p w14:paraId="18D0602F" w14:textId="25A98F9F" w:rsidR="001A0263" w:rsidRPr="000F57AA" w:rsidRDefault="001A0263" w:rsidP="001A0263">
            <w:pPr>
              <w:ind w:right="90"/>
              <w:rPr>
                <w:sz w:val="22"/>
                <w:szCs w:val="22"/>
                <w:lang w:val="ro-RO" w:eastAsia="ru-RU"/>
                <w14:ligatures w14:val="standardContextual"/>
              </w:rPr>
            </w:pPr>
            <w:r w:rsidRPr="000F57AA">
              <w:rPr>
                <w:sz w:val="22"/>
                <w:szCs w:val="22"/>
                <w:lang w:val="ro-RO"/>
              </w:rPr>
              <w:t>{0230;0040}</w:t>
            </w:r>
          </w:p>
        </w:tc>
        <w:tc>
          <w:tcPr>
            <w:tcW w:w="7513" w:type="dxa"/>
          </w:tcPr>
          <w:p w14:paraId="2C8291F6" w14:textId="5721906C" w:rsidR="001A0263" w:rsidRPr="000F57AA" w:rsidRDefault="001A0263" w:rsidP="0009183C">
            <w:pPr>
              <w:ind w:right="90" w:firstLine="598"/>
              <w:rPr>
                <w:b/>
                <w:bCs/>
                <w:sz w:val="22"/>
                <w:szCs w:val="22"/>
                <w:lang w:val="ro-RO" w:eastAsia="ru-RU"/>
                <w14:ligatures w14:val="standardContextual"/>
              </w:rPr>
            </w:pPr>
            <w:r w:rsidRPr="000F57AA">
              <w:rPr>
                <w:b/>
                <w:bCs/>
                <w:sz w:val="22"/>
                <w:szCs w:val="22"/>
                <w:lang w:val="ro-RO"/>
              </w:rPr>
              <w:t xml:space="preserve">Societăţi – Cuantumul ponderat la risc al expunerilor – Expuneri în cadrul abordării bazate pe modele interne de rating </w:t>
            </w:r>
          </w:p>
        </w:tc>
        <w:tc>
          <w:tcPr>
            <w:tcW w:w="992" w:type="dxa"/>
          </w:tcPr>
          <w:p w14:paraId="0D06B4BB" w14:textId="6A1D5B86" w:rsidR="001A0263" w:rsidRPr="000F57AA" w:rsidRDefault="001A0263" w:rsidP="001A0263">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546FC68D" w14:textId="77777777" w:rsidTr="0077559D">
        <w:trPr>
          <w:trHeight w:val="161"/>
        </w:trPr>
        <w:tc>
          <w:tcPr>
            <w:tcW w:w="1129" w:type="dxa"/>
          </w:tcPr>
          <w:p w14:paraId="7ACE7A04" w14:textId="6453256F" w:rsidR="001A0263" w:rsidRPr="000F57AA" w:rsidRDefault="001A0263" w:rsidP="001A0263">
            <w:pPr>
              <w:ind w:right="90"/>
              <w:rPr>
                <w:sz w:val="22"/>
                <w:szCs w:val="22"/>
                <w:lang w:val="ro-RO" w:eastAsia="ru-RU"/>
                <w14:ligatures w14:val="standardContextual"/>
              </w:rPr>
            </w:pPr>
            <w:r w:rsidRPr="000F57AA">
              <w:rPr>
                <w:sz w:val="22"/>
                <w:szCs w:val="22"/>
                <w:lang w:val="ro-RO"/>
              </w:rPr>
              <w:t>{0240;0010}</w:t>
            </w:r>
          </w:p>
        </w:tc>
        <w:tc>
          <w:tcPr>
            <w:tcW w:w="8505" w:type="dxa"/>
            <w:gridSpan w:val="2"/>
          </w:tcPr>
          <w:p w14:paraId="1B5C4CCE" w14:textId="77777777" w:rsidR="001A0263" w:rsidRPr="000F57AA" w:rsidRDefault="001A0263" w:rsidP="0009183C">
            <w:pPr>
              <w:ind w:right="90" w:firstLine="598"/>
              <w:rPr>
                <w:b/>
                <w:bCs/>
                <w:sz w:val="22"/>
                <w:szCs w:val="22"/>
                <w:lang w:val="ro-RO"/>
              </w:rPr>
            </w:pPr>
            <w:r w:rsidRPr="000F57AA">
              <w:rPr>
                <w:b/>
                <w:bCs/>
                <w:sz w:val="22"/>
                <w:szCs w:val="22"/>
                <w:lang w:val="ro-RO"/>
              </w:rPr>
              <w:t xml:space="preserve">Societăţi financiare – Valoarea expunerii pentru calcularea indicatorului efectului de levier – Expuneri în cadrul abordării standardizate </w:t>
            </w:r>
          </w:p>
          <w:p w14:paraId="3EFB4E15" w14:textId="77777777" w:rsidR="001A0263" w:rsidRPr="000F57AA" w:rsidRDefault="001A0263" w:rsidP="0009183C">
            <w:pPr>
              <w:ind w:right="90" w:firstLine="598"/>
              <w:rPr>
                <w:sz w:val="22"/>
                <w:szCs w:val="22"/>
                <w:lang w:val="ro-RO"/>
              </w:rPr>
            </w:pPr>
            <w:r w:rsidRPr="000F57AA">
              <w:rPr>
                <w:sz w:val="22"/>
                <w:szCs w:val="22"/>
                <w:lang w:val="ro-RO"/>
              </w:rPr>
              <w:t xml:space="preserve">Valoarea expunerii pentru calcularea indicatorului efectului de levier al activelor care reprezintă expuneri faţă de societăţi financiare în cadrul abordării standardizate, astfel cum sunt prevăzute la pct.59-60 din Regulamentul nr.111/2018. </w:t>
            </w:r>
          </w:p>
          <w:p w14:paraId="200D9ADE" w14:textId="32525970" w:rsidR="0009183C" w:rsidRPr="000F57AA" w:rsidRDefault="001A0263" w:rsidP="0009183C">
            <w:pPr>
              <w:ind w:right="90" w:firstLine="598"/>
              <w:rPr>
                <w:sz w:val="22"/>
                <w:szCs w:val="22"/>
                <w:lang w:val="ro-RO"/>
              </w:rPr>
            </w:pPr>
            <w:r w:rsidRPr="000F57AA">
              <w:rPr>
                <w:sz w:val="22"/>
                <w:szCs w:val="22"/>
                <w:lang w:val="ro-RO"/>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articolul 14 din Legea nr.202/201</w:t>
            </w:r>
            <w:r w:rsidR="00E62F61" w:rsidRPr="000F57AA">
              <w:rPr>
                <w:sz w:val="22"/>
                <w:szCs w:val="22"/>
                <w:lang w:val="ro-RO"/>
              </w:rPr>
              <w:t>7</w:t>
            </w:r>
            <w:r w:rsidRPr="000F57AA">
              <w:rPr>
                <w:sz w:val="22"/>
                <w:szCs w:val="22"/>
                <w:lang w:val="ro-RO"/>
              </w:rPr>
              <w:t>, precum și entitățile din sectorul financiar definite la</w:t>
            </w:r>
            <w:r w:rsidR="0009183C" w:rsidRPr="000F57AA">
              <w:rPr>
                <w:sz w:val="22"/>
                <w:szCs w:val="22"/>
                <w:lang w:val="ro-RO"/>
              </w:rPr>
              <w:t xml:space="preserve"> </w:t>
            </w:r>
            <w:r w:rsidRPr="000F57AA">
              <w:rPr>
                <w:sz w:val="22"/>
                <w:szCs w:val="22"/>
                <w:lang w:val="ro-RO"/>
              </w:rPr>
              <w:t xml:space="preserve">articolul 3 din Legea nr.202/2017, altele decât instituţiile menţionate în {0180;0010}. </w:t>
            </w:r>
          </w:p>
          <w:p w14:paraId="5E2BE151" w14:textId="02D77E1C" w:rsidR="001A0263" w:rsidRPr="000F57AA" w:rsidRDefault="001A0263" w:rsidP="0009183C">
            <w:pPr>
              <w:ind w:right="90" w:firstLine="598"/>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A0263" w:rsidRPr="000F57AA" w14:paraId="020FAEE7" w14:textId="77777777" w:rsidTr="0077559D">
        <w:trPr>
          <w:trHeight w:val="161"/>
        </w:trPr>
        <w:tc>
          <w:tcPr>
            <w:tcW w:w="1129" w:type="dxa"/>
          </w:tcPr>
          <w:p w14:paraId="4C340309" w14:textId="0B00D988" w:rsidR="001A0263" w:rsidRPr="000F57AA" w:rsidRDefault="001A0263" w:rsidP="001A0263">
            <w:pPr>
              <w:ind w:right="90"/>
              <w:rPr>
                <w:sz w:val="22"/>
                <w:szCs w:val="22"/>
                <w:lang w:val="ro-RO" w:eastAsia="ru-RU"/>
                <w14:ligatures w14:val="standardContextual"/>
              </w:rPr>
            </w:pPr>
            <w:r w:rsidRPr="000F57AA">
              <w:rPr>
                <w:sz w:val="22"/>
                <w:szCs w:val="22"/>
                <w:lang w:val="ro-RO"/>
              </w:rPr>
              <w:t>{0240;0020}</w:t>
            </w:r>
          </w:p>
        </w:tc>
        <w:tc>
          <w:tcPr>
            <w:tcW w:w="7513" w:type="dxa"/>
          </w:tcPr>
          <w:p w14:paraId="451F77A5" w14:textId="09F355D0" w:rsidR="001A0263" w:rsidRPr="000F57AA" w:rsidRDefault="001A0263" w:rsidP="0009183C">
            <w:pPr>
              <w:ind w:right="90" w:firstLine="598"/>
              <w:rPr>
                <w:b/>
                <w:bCs/>
                <w:sz w:val="22"/>
                <w:szCs w:val="22"/>
                <w:lang w:val="ro-RO" w:eastAsia="ru-RU"/>
                <w14:ligatures w14:val="standardContextual"/>
              </w:rPr>
            </w:pPr>
            <w:r w:rsidRPr="000F57AA">
              <w:rPr>
                <w:b/>
                <w:bCs/>
                <w:sz w:val="22"/>
                <w:szCs w:val="22"/>
                <w:lang w:val="ro-RO"/>
              </w:rPr>
              <w:t xml:space="preserve">Societăţi financiare – Valoarea expunerii pentru calcularea indicatorului efectului de levier – Expuneri în cadrul abordării bazate pe modele interne de rating </w:t>
            </w:r>
          </w:p>
        </w:tc>
        <w:tc>
          <w:tcPr>
            <w:tcW w:w="992" w:type="dxa"/>
          </w:tcPr>
          <w:p w14:paraId="026544DE" w14:textId="034D15F3" w:rsidR="001A0263" w:rsidRPr="000F57AA" w:rsidRDefault="001A0263" w:rsidP="001A0263">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A0263" w:rsidRPr="00A05A6A" w14:paraId="4922B75C" w14:textId="77777777" w:rsidTr="0077559D">
        <w:trPr>
          <w:trHeight w:val="161"/>
        </w:trPr>
        <w:tc>
          <w:tcPr>
            <w:tcW w:w="1129" w:type="dxa"/>
          </w:tcPr>
          <w:p w14:paraId="1EDF285F" w14:textId="54BE9B5E" w:rsidR="001A0263" w:rsidRPr="000F57AA" w:rsidRDefault="001A0263" w:rsidP="001A0263">
            <w:pPr>
              <w:ind w:right="90"/>
              <w:rPr>
                <w:sz w:val="22"/>
                <w:szCs w:val="22"/>
                <w:lang w:val="ro-RO" w:eastAsia="ru-RU"/>
                <w14:ligatures w14:val="standardContextual"/>
              </w:rPr>
            </w:pPr>
            <w:r w:rsidRPr="000F57AA">
              <w:rPr>
                <w:sz w:val="22"/>
                <w:szCs w:val="22"/>
                <w:lang w:val="ro-RO"/>
              </w:rPr>
              <w:t>{0240;0030}</w:t>
            </w:r>
          </w:p>
        </w:tc>
        <w:tc>
          <w:tcPr>
            <w:tcW w:w="8505" w:type="dxa"/>
            <w:gridSpan w:val="2"/>
          </w:tcPr>
          <w:p w14:paraId="2F5B388C" w14:textId="77777777" w:rsidR="001A0263" w:rsidRPr="000F57AA" w:rsidRDefault="001A0263" w:rsidP="0009183C">
            <w:pPr>
              <w:ind w:right="90" w:firstLine="598"/>
              <w:rPr>
                <w:b/>
                <w:bCs/>
                <w:sz w:val="22"/>
                <w:szCs w:val="22"/>
                <w:lang w:val="ro-RO"/>
              </w:rPr>
            </w:pPr>
            <w:r w:rsidRPr="000F57AA">
              <w:rPr>
                <w:b/>
                <w:bCs/>
                <w:sz w:val="22"/>
                <w:szCs w:val="22"/>
                <w:lang w:val="ro-RO"/>
              </w:rPr>
              <w:t xml:space="preserve">Societăţi financiare – Cuantumul ponderat la risc al expunerilor – Expuneri în cadrul abordării standardizate </w:t>
            </w:r>
          </w:p>
          <w:p w14:paraId="59950CB4" w14:textId="77777777" w:rsidR="001A0263" w:rsidRPr="000F57AA" w:rsidRDefault="001A0263" w:rsidP="0009183C">
            <w:pPr>
              <w:ind w:right="90" w:firstLine="598"/>
              <w:rPr>
                <w:sz w:val="22"/>
                <w:szCs w:val="22"/>
                <w:lang w:val="ro-RO"/>
              </w:rPr>
            </w:pPr>
            <w:r w:rsidRPr="000F57AA">
              <w:rPr>
                <w:sz w:val="22"/>
                <w:szCs w:val="22"/>
                <w:lang w:val="ro-RO"/>
              </w:rPr>
              <w:t xml:space="preserve">Cuantumul ponderat la risc al expunerii activelor care reprezintă expuneri faţă de societăţi financiare în cadrul abordării standardizate, astfel cum sunt prevăzute la pct.59-60 din Regulamentul nr.111/2018. </w:t>
            </w:r>
          </w:p>
          <w:p w14:paraId="10182423" w14:textId="1C3DDE34" w:rsidR="0009183C" w:rsidRPr="000F57AA" w:rsidRDefault="001A0263" w:rsidP="0009183C">
            <w:pPr>
              <w:ind w:right="90" w:firstLine="598"/>
              <w:rPr>
                <w:sz w:val="22"/>
                <w:szCs w:val="22"/>
                <w:lang w:val="ro-RO"/>
              </w:rPr>
            </w:pPr>
            <w:r w:rsidRPr="000F57AA">
              <w:rPr>
                <w:sz w:val="22"/>
                <w:szCs w:val="22"/>
                <w:lang w:val="ro-RO"/>
              </w:rPr>
              <w:t>Pentru completarea formularului LR4, societăţi financiare înseamnă societăţi reglementate și nereglementate, altele decât instituţiile menţionate în {0180;0010}, a căror activitate principală constă în achiziţionarea de participaţii sau în desfășurarea uneia sau a mai multora dintre activităţile incluse în articolul 14 din Legea nr.202/201</w:t>
            </w:r>
            <w:r w:rsidR="00E62F61" w:rsidRPr="000F57AA">
              <w:rPr>
                <w:sz w:val="22"/>
                <w:szCs w:val="22"/>
                <w:lang w:val="ro-RO"/>
              </w:rPr>
              <w:t>7</w:t>
            </w:r>
            <w:r w:rsidRPr="000F57AA">
              <w:rPr>
                <w:sz w:val="22"/>
                <w:szCs w:val="22"/>
                <w:lang w:val="ro-RO"/>
              </w:rPr>
              <w:t xml:space="preserve">, precum și </w:t>
            </w:r>
            <w:r w:rsidRPr="000F57AA">
              <w:rPr>
                <w:sz w:val="22"/>
                <w:szCs w:val="22"/>
                <w:lang w:val="ro-RO"/>
              </w:rPr>
              <w:lastRenderedPageBreak/>
              <w:t xml:space="preserve">entitățile din sectorul financiar definite la articolul 3 din Legea nr.202/2017, altele decât instituţiile menţionate în {0180;0010}. </w:t>
            </w:r>
          </w:p>
          <w:p w14:paraId="721C7789" w14:textId="7617F4D2" w:rsidR="001A0263" w:rsidRPr="000F57AA" w:rsidRDefault="001A0263" w:rsidP="0009183C">
            <w:pPr>
              <w:ind w:right="90" w:firstLine="598"/>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369AE" w:rsidRPr="000F57AA" w14:paraId="04D009EA" w14:textId="77777777" w:rsidTr="0077559D">
        <w:trPr>
          <w:trHeight w:val="161"/>
        </w:trPr>
        <w:tc>
          <w:tcPr>
            <w:tcW w:w="1129" w:type="dxa"/>
          </w:tcPr>
          <w:p w14:paraId="56455804" w14:textId="50BD1480" w:rsidR="001369AE" w:rsidRPr="000F57AA" w:rsidRDefault="001369AE" w:rsidP="001369AE">
            <w:pPr>
              <w:ind w:right="90"/>
              <w:rPr>
                <w:sz w:val="22"/>
                <w:szCs w:val="22"/>
                <w:lang w:val="ro-RO" w:eastAsia="ru-RU"/>
                <w14:ligatures w14:val="standardContextual"/>
              </w:rPr>
            </w:pPr>
            <w:r w:rsidRPr="000F57AA">
              <w:rPr>
                <w:sz w:val="22"/>
                <w:szCs w:val="22"/>
                <w:lang w:val="ro-RO"/>
              </w:rPr>
              <w:lastRenderedPageBreak/>
              <w:t>{0240;0040}</w:t>
            </w:r>
            <w:r w:rsidRPr="000F57AA">
              <w:rPr>
                <w:sz w:val="22"/>
                <w:szCs w:val="22"/>
                <w:lang w:val="ro-RO"/>
              </w:rPr>
              <w:tab/>
            </w:r>
          </w:p>
        </w:tc>
        <w:tc>
          <w:tcPr>
            <w:tcW w:w="7513" w:type="dxa"/>
          </w:tcPr>
          <w:p w14:paraId="38499917" w14:textId="22E2AC37" w:rsidR="001369AE" w:rsidRPr="000F57AA" w:rsidRDefault="001369AE" w:rsidP="00B727AB">
            <w:pPr>
              <w:ind w:right="90" w:firstLine="456"/>
              <w:rPr>
                <w:b/>
                <w:bCs/>
                <w:sz w:val="22"/>
                <w:szCs w:val="22"/>
                <w:lang w:val="ro-RO" w:eastAsia="ru-RU"/>
                <w14:ligatures w14:val="standardContextual"/>
              </w:rPr>
            </w:pPr>
            <w:r w:rsidRPr="000F57AA">
              <w:rPr>
                <w:b/>
                <w:bCs/>
                <w:sz w:val="22"/>
                <w:szCs w:val="22"/>
                <w:lang w:val="ro-RO"/>
              </w:rPr>
              <w:t xml:space="preserve">Societăţi financiare – Cuantumul ponderat la risc al expunerilor – Expuneri în cadrul abordării bazate pe modele interne de rating </w:t>
            </w:r>
          </w:p>
        </w:tc>
        <w:tc>
          <w:tcPr>
            <w:tcW w:w="992" w:type="dxa"/>
          </w:tcPr>
          <w:p w14:paraId="3D4E6D9E" w14:textId="7BE36502"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12B00A90" w14:textId="77777777" w:rsidTr="0077559D">
        <w:trPr>
          <w:trHeight w:val="161"/>
        </w:trPr>
        <w:tc>
          <w:tcPr>
            <w:tcW w:w="1129" w:type="dxa"/>
          </w:tcPr>
          <w:p w14:paraId="7F369DAC" w14:textId="69068C9B" w:rsidR="001369AE" w:rsidRPr="000F57AA" w:rsidRDefault="001369AE" w:rsidP="001369AE">
            <w:pPr>
              <w:ind w:right="90"/>
              <w:rPr>
                <w:sz w:val="22"/>
                <w:szCs w:val="22"/>
                <w:lang w:val="ro-RO" w:eastAsia="ru-RU"/>
                <w14:ligatures w14:val="standardContextual"/>
              </w:rPr>
            </w:pPr>
            <w:r w:rsidRPr="000F57AA">
              <w:rPr>
                <w:sz w:val="22"/>
                <w:szCs w:val="22"/>
                <w:lang w:val="ro-RO"/>
              </w:rPr>
              <w:t>{0250;0010}</w:t>
            </w:r>
          </w:p>
        </w:tc>
        <w:tc>
          <w:tcPr>
            <w:tcW w:w="8505" w:type="dxa"/>
            <w:gridSpan w:val="2"/>
          </w:tcPr>
          <w:p w14:paraId="3B4CFC49" w14:textId="77777777" w:rsidR="001369AE" w:rsidRPr="000F57AA" w:rsidRDefault="001369AE" w:rsidP="0009183C">
            <w:pPr>
              <w:ind w:right="90" w:firstLine="456"/>
              <w:rPr>
                <w:b/>
                <w:bCs/>
                <w:sz w:val="22"/>
                <w:szCs w:val="22"/>
                <w:lang w:val="ro-RO"/>
              </w:rPr>
            </w:pPr>
            <w:r w:rsidRPr="000F57AA">
              <w:rPr>
                <w:b/>
                <w:bCs/>
                <w:sz w:val="22"/>
                <w:szCs w:val="22"/>
                <w:lang w:val="ro-RO"/>
              </w:rPr>
              <w:t xml:space="preserve">Societăţi nefinanciare – Valoarea expunerii pentru calcularea indicatorului efectului de levier – Expuneri în cadrul abordării standardizate </w:t>
            </w:r>
          </w:p>
          <w:p w14:paraId="13775E87" w14:textId="77777777" w:rsidR="001369AE" w:rsidRPr="000F57AA" w:rsidRDefault="001369AE" w:rsidP="0009183C">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societăţi nefinanciare în cadrul abordării standardizate, astfel cum sunt prevăzute la pct.59-60 din Regulamentul nr.111/2018. </w:t>
            </w:r>
          </w:p>
          <w:p w14:paraId="6D4BDED2" w14:textId="65722AFF"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Suma celulelor {0260,0010} și {0270,0010}. Băncile raportează valoarea obţinută după scăderea expunerilor aflate în stare de nerambursare în cadrul abordării standardizate.</w:t>
            </w:r>
          </w:p>
        </w:tc>
      </w:tr>
      <w:tr w:rsidR="001369AE" w:rsidRPr="000F57AA" w14:paraId="7C093D2F" w14:textId="77777777" w:rsidTr="0077559D">
        <w:trPr>
          <w:trHeight w:val="161"/>
        </w:trPr>
        <w:tc>
          <w:tcPr>
            <w:tcW w:w="1129" w:type="dxa"/>
          </w:tcPr>
          <w:p w14:paraId="1610AF2A" w14:textId="5E8770B2" w:rsidR="001369AE" w:rsidRPr="000F57AA" w:rsidRDefault="001369AE" w:rsidP="001369AE">
            <w:pPr>
              <w:ind w:right="90"/>
              <w:rPr>
                <w:sz w:val="22"/>
                <w:szCs w:val="22"/>
                <w:lang w:val="ro-RO" w:eastAsia="ru-RU"/>
                <w14:ligatures w14:val="standardContextual"/>
              </w:rPr>
            </w:pPr>
            <w:r w:rsidRPr="000F57AA">
              <w:rPr>
                <w:sz w:val="22"/>
                <w:szCs w:val="22"/>
                <w:lang w:val="ro-RO"/>
              </w:rPr>
              <w:t>{0250;0020}</w:t>
            </w:r>
          </w:p>
        </w:tc>
        <w:tc>
          <w:tcPr>
            <w:tcW w:w="7513" w:type="dxa"/>
          </w:tcPr>
          <w:p w14:paraId="0BF26897" w14:textId="1F85E096"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Societăţi nefinanciare – Valoarea expunerii pentru calcularea indicatorului efectului de levier – Expuneri în cadrul abordării bazate pe modele interne de rating </w:t>
            </w:r>
          </w:p>
        </w:tc>
        <w:tc>
          <w:tcPr>
            <w:tcW w:w="992" w:type="dxa"/>
          </w:tcPr>
          <w:p w14:paraId="191CAC43" w14:textId="1884FF96"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2715A4D8" w14:textId="77777777" w:rsidTr="0077559D">
        <w:trPr>
          <w:trHeight w:val="161"/>
        </w:trPr>
        <w:tc>
          <w:tcPr>
            <w:tcW w:w="1129" w:type="dxa"/>
          </w:tcPr>
          <w:p w14:paraId="1545B03D" w14:textId="1B531D18" w:rsidR="001369AE" w:rsidRPr="000F57AA" w:rsidRDefault="001369AE" w:rsidP="001369AE">
            <w:pPr>
              <w:ind w:right="90"/>
              <w:rPr>
                <w:sz w:val="22"/>
                <w:szCs w:val="22"/>
                <w:lang w:val="ro-RO" w:eastAsia="ru-RU"/>
                <w14:ligatures w14:val="standardContextual"/>
              </w:rPr>
            </w:pPr>
            <w:r w:rsidRPr="000F57AA">
              <w:rPr>
                <w:sz w:val="22"/>
                <w:szCs w:val="22"/>
                <w:lang w:val="ro-RO"/>
              </w:rPr>
              <w:t>{0250;0030}</w:t>
            </w:r>
          </w:p>
        </w:tc>
        <w:tc>
          <w:tcPr>
            <w:tcW w:w="8505" w:type="dxa"/>
            <w:gridSpan w:val="2"/>
          </w:tcPr>
          <w:p w14:paraId="49D8883B" w14:textId="77777777" w:rsidR="000F57AA" w:rsidRDefault="001369AE" w:rsidP="0009183C">
            <w:pPr>
              <w:ind w:right="90" w:firstLine="456"/>
              <w:rPr>
                <w:b/>
                <w:bCs/>
                <w:sz w:val="22"/>
                <w:szCs w:val="22"/>
                <w:lang w:val="ro-RO"/>
              </w:rPr>
            </w:pPr>
            <w:r w:rsidRPr="000F57AA">
              <w:rPr>
                <w:b/>
                <w:bCs/>
                <w:sz w:val="22"/>
                <w:szCs w:val="22"/>
                <w:lang w:val="ro-RO"/>
              </w:rPr>
              <w:t xml:space="preserve">Societăţi nefinanciare – Cuantumul ponderat la risc al expunerilor – Expuneri în cadrul abordării standardizate </w:t>
            </w:r>
          </w:p>
          <w:p w14:paraId="5E8FE1B5" w14:textId="70D22B6A" w:rsidR="001369AE" w:rsidRPr="000F57AA" w:rsidRDefault="001369AE" w:rsidP="0009183C">
            <w:pPr>
              <w:ind w:right="90" w:firstLine="456"/>
              <w:rPr>
                <w:sz w:val="22"/>
                <w:szCs w:val="22"/>
                <w:lang w:val="ro-RO"/>
              </w:rPr>
            </w:pPr>
            <w:r w:rsidRPr="000F57AA">
              <w:rPr>
                <w:sz w:val="22"/>
                <w:szCs w:val="22"/>
                <w:lang w:val="ro-RO"/>
              </w:rPr>
              <w:t xml:space="preserve">Cuantumul ponderat la risc al expunerii activelor care reprezintă expuneri faţă de societăţi nefinanciare în cadrul abordării standardizate, astfel cum sunt prevăzute la pct.59-60 din Regulamentul nr.111/2018. </w:t>
            </w:r>
          </w:p>
          <w:p w14:paraId="2D86CA8F" w14:textId="049F03B0"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 xml:space="preserve">Suma celulelor {0260,0030} și {0270,0030}. </w:t>
            </w:r>
            <w:r w:rsidR="00334D98" w:rsidRPr="000F57AA">
              <w:rPr>
                <w:sz w:val="22"/>
                <w:szCs w:val="22"/>
                <w:lang w:val="ro-RO"/>
              </w:rPr>
              <w:t xml:space="preserve">Băncile </w:t>
            </w:r>
            <w:r w:rsidRPr="000F57AA">
              <w:rPr>
                <w:sz w:val="22"/>
                <w:szCs w:val="22"/>
                <w:lang w:val="ro-RO"/>
              </w:rPr>
              <w:t>raportează valoarea obţinută după scăderea expunerilor aflate în stare de nerambursare în cadrul abordării standardizate.</w:t>
            </w:r>
          </w:p>
        </w:tc>
      </w:tr>
      <w:tr w:rsidR="001369AE" w:rsidRPr="000F57AA" w14:paraId="3F2A967B" w14:textId="77777777" w:rsidTr="0077559D">
        <w:trPr>
          <w:trHeight w:val="161"/>
        </w:trPr>
        <w:tc>
          <w:tcPr>
            <w:tcW w:w="1129" w:type="dxa"/>
          </w:tcPr>
          <w:p w14:paraId="04FC5A2F" w14:textId="55EBA5F5" w:rsidR="001369AE" w:rsidRPr="000F57AA" w:rsidRDefault="001369AE" w:rsidP="001369AE">
            <w:pPr>
              <w:ind w:right="90"/>
              <w:rPr>
                <w:sz w:val="22"/>
                <w:szCs w:val="22"/>
                <w:lang w:val="ro-RO" w:eastAsia="ru-RU"/>
                <w14:ligatures w14:val="standardContextual"/>
              </w:rPr>
            </w:pPr>
            <w:r w:rsidRPr="000F57AA">
              <w:rPr>
                <w:sz w:val="22"/>
                <w:szCs w:val="22"/>
                <w:lang w:val="ro-RO"/>
              </w:rPr>
              <w:t>{0250;0040}</w:t>
            </w:r>
          </w:p>
        </w:tc>
        <w:tc>
          <w:tcPr>
            <w:tcW w:w="7513" w:type="dxa"/>
          </w:tcPr>
          <w:p w14:paraId="5D312516" w14:textId="7545B467"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Societăţi nefinanciare – Cuantumul ponderat la risc al expunerilor – Expuneri în cadrul abordării bazate pe modele interne de rating</w:t>
            </w:r>
          </w:p>
        </w:tc>
        <w:tc>
          <w:tcPr>
            <w:tcW w:w="992" w:type="dxa"/>
          </w:tcPr>
          <w:p w14:paraId="601C77BE" w14:textId="56BB3882"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370547AE" w14:textId="77777777" w:rsidTr="0077559D">
        <w:trPr>
          <w:trHeight w:val="161"/>
        </w:trPr>
        <w:tc>
          <w:tcPr>
            <w:tcW w:w="1129" w:type="dxa"/>
          </w:tcPr>
          <w:p w14:paraId="792BF463" w14:textId="2FF133E4" w:rsidR="001369AE" w:rsidRPr="000F57AA" w:rsidRDefault="001369AE" w:rsidP="001369AE">
            <w:pPr>
              <w:ind w:right="90"/>
              <w:rPr>
                <w:sz w:val="22"/>
                <w:szCs w:val="22"/>
                <w:lang w:val="ro-RO" w:eastAsia="ru-RU"/>
                <w14:ligatures w14:val="standardContextual"/>
              </w:rPr>
            </w:pPr>
            <w:r w:rsidRPr="000F57AA">
              <w:rPr>
                <w:sz w:val="22"/>
                <w:szCs w:val="22"/>
                <w:lang w:val="ro-RO"/>
              </w:rPr>
              <w:t>{0260;0010}</w:t>
            </w:r>
          </w:p>
        </w:tc>
        <w:tc>
          <w:tcPr>
            <w:tcW w:w="8505" w:type="dxa"/>
            <w:gridSpan w:val="2"/>
          </w:tcPr>
          <w:p w14:paraId="53607ABC" w14:textId="77777777" w:rsidR="001369AE" w:rsidRPr="000F57AA" w:rsidRDefault="001369AE" w:rsidP="0009183C">
            <w:pPr>
              <w:ind w:right="90" w:firstLine="456"/>
              <w:rPr>
                <w:b/>
                <w:bCs/>
                <w:sz w:val="22"/>
                <w:szCs w:val="22"/>
                <w:lang w:val="ro-RO"/>
              </w:rPr>
            </w:pPr>
            <w:r w:rsidRPr="000F57AA">
              <w:rPr>
                <w:b/>
                <w:bCs/>
                <w:sz w:val="22"/>
                <w:szCs w:val="22"/>
                <w:lang w:val="ro-RO"/>
              </w:rPr>
              <w:t xml:space="preserve">Expuneri faţă de IMM-uri – Valoarea expunerii pentru calcularea indicatorului efectului de levier – Expuneri în cadrul abordării standardizate </w:t>
            </w:r>
          </w:p>
          <w:p w14:paraId="37514E05" w14:textId="77777777" w:rsidR="001369AE" w:rsidRPr="000F57AA" w:rsidRDefault="001369AE" w:rsidP="0009183C">
            <w:pPr>
              <w:ind w:right="90" w:firstLine="456"/>
              <w:rPr>
                <w:sz w:val="22"/>
                <w:szCs w:val="22"/>
                <w:lang w:val="ro-RO"/>
              </w:rPr>
            </w:pPr>
            <w:r w:rsidRPr="000F57AA">
              <w:rPr>
                <w:sz w:val="22"/>
                <w:szCs w:val="22"/>
                <w:lang w:val="ro-RO"/>
              </w:rPr>
              <w:t xml:space="preserve">Valoarea expunerii pentru calcularea indicatorului efectului de levier al activelor care reprezintă expuneri faţă de societăţi de tipul întreprinderilor mici și mijlocii în cadrul abordării standardizate, astfel cum sunt prevăzute la pct.59-60 din Regulamentul nr.111/2018. </w:t>
            </w:r>
          </w:p>
          <w:p w14:paraId="452AF9D8" w14:textId="77777777" w:rsidR="001369AE" w:rsidRPr="000F57AA" w:rsidRDefault="001369AE" w:rsidP="0009183C">
            <w:pPr>
              <w:ind w:right="90" w:firstLine="456"/>
              <w:rPr>
                <w:sz w:val="22"/>
                <w:szCs w:val="22"/>
                <w:lang w:val="ro-RO"/>
              </w:rPr>
            </w:pPr>
            <w:r w:rsidRPr="000F57AA">
              <w:rPr>
                <w:sz w:val="22"/>
                <w:szCs w:val="22"/>
                <w:lang w:val="ro-RO"/>
              </w:rPr>
              <w:t xml:space="preserve">În sensul acestei celule, băncile utilizează noţiunea de „întreprindere mică sau mijlocie” astfel cum este definită la pct.96 subpct.2) din Regulamentul nr.111/2018. </w:t>
            </w:r>
          </w:p>
          <w:p w14:paraId="264B6F9B" w14:textId="1CBFC01E"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369AE" w:rsidRPr="000F57AA" w14:paraId="2D76AB53" w14:textId="77777777" w:rsidTr="0077559D">
        <w:trPr>
          <w:trHeight w:val="161"/>
        </w:trPr>
        <w:tc>
          <w:tcPr>
            <w:tcW w:w="1129" w:type="dxa"/>
          </w:tcPr>
          <w:p w14:paraId="62196FA5" w14:textId="59A621AF" w:rsidR="001369AE" w:rsidRPr="000F57AA" w:rsidRDefault="001369AE" w:rsidP="001369AE">
            <w:pPr>
              <w:ind w:right="90"/>
              <w:rPr>
                <w:sz w:val="22"/>
                <w:szCs w:val="22"/>
                <w:lang w:val="ro-RO" w:eastAsia="ru-RU"/>
                <w14:ligatures w14:val="standardContextual"/>
              </w:rPr>
            </w:pPr>
            <w:r w:rsidRPr="000F57AA">
              <w:rPr>
                <w:sz w:val="22"/>
                <w:szCs w:val="22"/>
                <w:lang w:val="ro-RO"/>
              </w:rPr>
              <w:t>{0260;0020}</w:t>
            </w:r>
          </w:p>
        </w:tc>
        <w:tc>
          <w:tcPr>
            <w:tcW w:w="7513" w:type="dxa"/>
          </w:tcPr>
          <w:p w14:paraId="19C04169" w14:textId="6D8328F6"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Expuneri faţă de IMM-uri – Valoarea expunerii pentru calcularea indicatorului efectului de levier – Expuneri în cadrul abordării bazate pe modele interne de rating </w:t>
            </w:r>
          </w:p>
        </w:tc>
        <w:tc>
          <w:tcPr>
            <w:tcW w:w="992" w:type="dxa"/>
          </w:tcPr>
          <w:p w14:paraId="04DD00DC" w14:textId="6773A6D8"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395DF2D6" w14:textId="77777777" w:rsidTr="0077559D">
        <w:trPr>
          <w:trHeight w:val="161"/>
        </w:trPr>
        <w:tc>
          <w:tcPr>
            <w:tcW w:w="1129" w:type="dxa"/>
          </w:tcPr>
          <w:p w14:paraId="7BDEEF36" w14:textId="05641BD2" w:rsidR="001369AE" w:rsidRPr="000F57AA" w:rsidRDefault="001369AE" w:rsidP="001369AE">
            <w:pPr>
              <w:ind w:right="90"/>
              <w:rPr>
                <w:sz w:val="22"/>
                <w:szCs w:val="22"/>
                <w:lang w:val="ro-RO" w:eastAsia="ru-RU"/>
                <w14:ligatures w14:val="standardContextual"/>
              </w:rPr>
            </w:pPr>
            <w:r w:rsidRPr="000F57AA">
              <w:rPr>
                <w:sz w:val="22"/>
                <w:szCs w:val="22"/>
                <w:lang w:val="ro-RO"/>
              </w:rPr>
              <w:t>{0260;0030}</w:t>
            </w:r>
          </w:p>
        </w:tc>
        <w:tc>
          <w:tcPr>
            <w:tcW w:w="8505" w:type="dxa"/>
            <w:gridSpan w:val="2"/>
          </w:tcPr>
          <w:p w14:paraId="77537F00" w14:textId="77777777" w:rsidR="000F57AA" w:rsidRDefault="001369AE" w:rsidP="0009183C">
            <w:pPr>
              <w:ind w:right="90" w:firstLine="456"/>
              <w:rPr>
                <w:b/>
                <w:bCs/>
                <w:sz w:val="22"/>
                <w:szCs w:val="22"/>
                <w:lang w:val="ro-RO"/>
              </w:rPr>
            </w:pPr>
            <w:r w:rsidRPr="000F57AA">
              <w:rPr>
                <w:b/>
                <w:bCs/>
                <w:sz w:val="22"/>
                <w:szCs w:val="22"/>
                <w:lang w:val="ro-RO"/>
              </w:rPr>
              <w:t xml:space="preserve">Expuneri faţă de IMM-uri – Cuantumul ponderat la risc al expunerilor – Expuneri în cadrul abordării standardizate </w:t>
            </w:r>
          </w:p>
          <w:p w14:paraId="6C8BF8AA" w14:textId="12EF09B1" w:rsidR="001369AE" w:rsidRPr="000F57AA" w:rsidRDefault="001369AE" w:rsidP="0009183C">
            <w:pPr>
              <w:ind w:right="90" w:firstLine="456"/>
              <w:rPr>
                <w:sz w:val="22"/>
                <w:szCs w:val="22"/>
                <w:lang w:val="ro-RO"/>
              </w:rPr>
            </w:pPr>
            <w:r w:rsidRPr="000F57AA">
              <w:rPr>
                <w:sz w:val="22"/>
                <w:szCs w:val="22"/>
                <w:lang w:val="ro-RO"/>
              </w:rPr>
              <w:t xml:space="preserve">Cuantumul ponderat la risc al expunerii activelor care reprezintă expuneri faţă de societăţi de tipul întreprinderilor mici și mijlocii în cadrul abordării standardizate, astfel cum sunt prevăzute la pct.59-60 din Regulamentul nr.111/2018. </w:t>
            </w:r>
          </w:p>
          <w:p w14:paraId="50CF867F" w14:textId="77777777" w:rsidR="001369AE" w:rsidRPr="000F57AA" w:rsidRDefault="001369AE" w:rsidP="0009183C">
            <w:pPr>
              <w:ind w:right="90" w:firstLine="456"/>
              <w:rPr>
                <w:sz w:val="22"/>
                <w:szCs w:val="22"/>
                <w:lang w:val="ro-RO"/>
              </w:rPr>
            </w:pPr>
            <w:r w:rsidRPr="000F57AA">
              <w:rPr>
                <w:sz w:val="22"/>
                <w:szCs w:val="22"/>
                <w:lang w:val="ro-RO"/>
              </w:rPr>
              <w:t xml:space="preserve">În sensul acestei celule, băncile utilizează noţiunea de „întreprindere mică sau mijlocie” astfel cum este definită la pct.96 subpct.2) din Regulamentul nr.111/2018. </w:t>
            </w:r>
          </w:p>
          <w:p w14:paraId="328BD458" w14:textId="44678FFA"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369AE" w:rsidRPr="000F57AA" w14:paraId="2FA363E7" w14:textId="77777777" w:rsidTr="0077559D">
        <w:trPr>
          <w:trHeight w:val="161"/>
        </w:trPr>
        <w:tc>
          <w:tcPr>
            <w:tcW w:w="1129" w:type="dxa"/>
          </w:tcPr>
          <w:p w14:paraId="215E139D" w14:textId="78A0FE41" w:rsidR="001369AE" w:rsidRPr="000F57AA" w:rsidRDefault="001369AE" w:rsidP="001369AE">
            <w:pPr>
              <w:ind w:right="90"/>
              <w:rPr>
                <w:sz w:val="22"/>
                <w:szCs w:val="22"/>
                <w:lang w:val="ro-RO" w:eastAsia="ru-RU"/>
                <w14:ligatures w14:val="standardContextual"/>
              </w:rPr>
            </w:pPr>
            <w:r w:rsidRPr="000F57AA">
              <w:rPr>
                <w:sz w:val="22"/>
                <w:szCs w:val="22"/>
                <w:lang w:val="ro-RO"/>
              </w:rPr>
              <w:t>{0260;0040}</w:t>
            </w:r>
          </w:p>
        </w:tc>
        <w:tc>
          <w:tcPr>
            <w:tcW w:w="7513" w:type="dxa"/>
          </w:tcPr>
          <w:p w14:paraId="1BD0E424" w14:textId="6525695C"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Expuneri faţă de IMM-uri – Cuantumul ponderat la risc al expunerilor – Expuneri în cadrul abordării bazate pe modele interne de rating </w:t>
            </w:r>
          </w:p>
        </w:tc>
        <w:tc>
          <w:tcPr>
            <w:tcW w:w="992" w:type="dxa"/>
          </w:tcPr>
          <w:p w14:paraId="31233B36" w14:textId="0FF1F883"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30279C48" w14:textId="77777777" w:rsidTr="0077559D">
        <w:trPr>
          <w:trHeight w:val="161"/>
        </w:trPr>
        <w:tc>
          <w:tcPr>
            <w:tcW w:w="1129" w:type="dxa"/>
          </w:tcPr>
          <w:p w14:paraId="20BEB446" w14:textId="1CACF49C" w:rsidR="001369AE" w:rsidRPr="000F57AA" w:rsidRDefault="001369AE" w:rsidP="001369AE">
            <w:pPr>
              <w:ind w:right="90"/>
              <w:rPr>
                <w:sz w:val="22"/>
                <w:szCs w:val="22"/>
                <w:lang w:val="ro-RO" w:eastAsia="ru-RU"/>
                <w14:ligatures w14:val="standardContextual"/>
              </w:rPr>
            </w:pPr>
            <w:r w:rsidRPr="000F57AA">
              <w:rPr>
                <w:sz w:val="22"/>
                <w:szCs w:val="22"/>
                <w:lang w:val="ro-RO"/>
              </w:rPr>
              <w:t>{0270;0010}</w:t>
            </w:r>
          </w:p>
        </w:tc>
        <w:tc>
          <w:tcPr>
            <w:tcW w:w="8505" w:type="dxa"/>
            <w:gridSpan w:val="2"/>
          </w:tcPr>
          <w:p w14:paraId="623182F4" w14:textId="77777777" w:rsidR="0009183C" w:rsidRPr="000F57AA" w:rsidRDefault="001369AE" w:rsidP="001369AE">
            <w:pPr>
              <w:ind w:right="90" w:firstLine="530"/>
              <w:rPr>
                <w:b/>
                <w:bCs/>
                <w:sz w:val="22"/>
                <w:szCs w:val="22"/>
                <w:lang w:val="ro-RO"/>
              </w:rPr>
            </w:pPr>
            <w:r w:rsidRPr="000F57AA">
              <w:rPr>
                <w:b/>
                <w:bCs/>
                <w:sz w:val="22"/>
                <w:szCs w:val="22"/>
                <w:lang w:val="ro-RO"/>
              </w:rPr>
              <w:t xml:space="preserve">Expuneri, altele decât expunerile faţă de IMM-uri – Valoarea expunerii pentru calcularea indicatorului efectului de levier – Expuneri în cadrul abordării standardizate </w:t>
            </w:r>
          </w:p>
          <w:p w14:paraId="761ACF2E" w14:textId="77777777" w:rsidR="0009183C" w:rsidRPr="000F57AA" w:rsidRDefault="001369AE" w:rsidP="001369AE">
            <w:pPr>
              <w:ind w:right="90" w:firstLine="530"/>
              <w:rPr>
                <w:sz w:val="22"/>
                <w:szCs w:val="22"/>
                <w:lang w:val="ro-RO"/>
              </w:rPr>
            </w:pPr>
            <w:r w:rsidRPr="000F57AA">
              <w:rPr>
                <w:sz w:val="22"/>
                <w:szCs w:val="22"/>
                <w:lang w:val="ro-RO"/>
              </w:rPr>
              <w:t xml:space="preserve">Valoarea expunerii pentru calcularea indicatorului efectului de levier al activelor care reprezintă expuneri faţă de societăţi în cadrul abordării standardizate, astfel cum sunt prevăzute la pct.59-60 din Regulamentul nr.111/2018, și care nu sunt raportate în {0230;0040} și {0250;0040}. </w:t>
            </w:r>
          </w:p>
          <w:p w14:paraId="4F16938E" w14:textId="2079A77B" w:rsidR="001369AE" w:rsidRPr="000F57AA" w:rsidRDefault="001369AE" w:rsidP="001369AE">
            <w:pPr>
              <w:ind w:right="90" w:firstLine="530"/>
              <w:rPr>
                <w:b/>
                <w:bCs/>
                <w:sz w:val="22"/>
                <w:szCs w:val="22"/>
                <w:lang w:val="ro-RO" w:eastAsia="ru-RU"/>
                <w14:ligatures w14:val="standardContextual"/>
              </w:rPr>
            </w:pPr>
            <w:r w:rsidRPr="000F57AA">
              <w:rPr>
                <w:sz w:val="22"/>
                <w:szCs w:val="22"/>
                <w:lang w:val="ro-RO"/>
              </w:rPr>
              <w:lastRenderedPageBreak/>
              <w:t>Băncile raportează valoarea obţinută după scăderea expunerilor aflate în stare de nerambursare în cadrul abordării standardizate.</w:t>
            </w:r>
          </w:p>
        </w:tc>
      </w:tr>
      <w:tr w:rsidR="001369AE" w:rsidRPr="000F57AA" w14:paraId="4E6D6347" w14:textId="77777777" w:rsidTr="0077559D">
        <w:trPr>
          <w:trHeight w:val="161"/>
        </w:trPr>
        <w:tc>
          <w:tcPr>
            <w:tcW w:w="1129" w:type="dxa"/>
          </w:tcPr>
          <w:p w14:paraId="5C767FA1" w14:textId="1E1B1BA9" w:rsidR="001369AE" w:rsidRPr="000F57AA" w:rsidRDefault="001369AE" w:rsidP="001369AE">
            <w:pPr>
              <w:ind w:right="90"/>
              <w:rPr>
                <w:sz w:val="22"/>
                <w:szCs w:val="22"/>
                <w:lang w:val="ro-RO" w:eastAsia="ru-RU"/>
                <w14:ligatures w14:val="standardContextual"/>
              </w:rPr>
            </w:pPr>
            <w:r w:rsidRPr="000F57AA">
              <w:rPr>
                <w:sz w:val="22"/>
                <w:szCs w:val="22"/>
                <w:lang w:val="ro-RO"/>
              </w:rPr>
              <w:lastRenderedPageBreak/>
              <w:t>{0270;0020}</w:t>
            </w:r>
          </w:p>
        </w:tc>
        <w:tc>
          <w:tcPr>
            <w:tcW w:w="7513" w:type="dxa"/>
          </w:tcPr>
          <w:p w14:paraId="745416BD" w14:textId="69950C9C"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Expuneri, altele decât expunerile faţă de IMM-uri – Valoarea expunerii pentru calcularea indicatorului efectului de levier – Expuneri în cadrul abordării bazate pe modele interne de rating </w:t>
            </w:r>
          </w:p>
        </w:tc>
        <w:tc>
          <w:tcPr>
            <w:tcW w:w="992" w:type="dxa"/>
          </w:tcPr>
          <w:p w14:paraId="490B37ED" w14:textId="4BCE8E60"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55D87AE5" w14:textId="77777777" w:rsidTr="0077559D">
        <w:trPr>
          <w:trHeight w:val="161"/>
        </w:trPr>
        <w:tc>
          <w:tcPr>
            <w:tcW w:w="1129" w:type="dxa"/>
          </w:tcPr>
          <w:p w14:paraId="65BA52C3" w14:textId="4479BAC1" w:rsidR="001369AE" w:rsidRPr="000F57AA" w:rsidRDefault="001369AE" w:rsidP="001369AE">
            <w:pPr>
              <w:ind w:right="90"/>
              <w:rPr>
                <w:sz w:val="22"/>
                <w:szCs w:val="22"/>
                <w:lang w:val="ro-RO" w:eastAsia="ru-RU"/>
                <w14:ligatures w14:val="standardContextual"/>
              </w:rPr>
            </w:pPr>
            <w:r w:rsidRPr="000F57AA">
              <w:rPr>
                <w:sz w:val="22"/>
                <w:szCs w:val="22"/>
                <w:lang w:val="ro-RO"/>
              </w:rPr>
              <w:t>{0270;0030}</w:t>
            </w:r>
          </w:p>
        </w:tc>
        <w:tc>
          <w:tcPr>
            <w:tcW w:w="8505" w:type="dxa"/>
            <w:gridSpan w:val="2"/>
          </w:tcPr>
          <w:p w14:paraId="0CFE503E" w14:textId="77777777" w:rsidR="001369AE" w:rsidRPr="000F57AA" w:rsidRDefault="001369AE" w:rsidP="0009183C">
            <w:pPr>
              <w:ind w:right="90" w:firstLine="456"/>
              <w:rPr>
                <w:b/>
                <w:bCs/>
                <w:sz w:val="22"/>
                <w:szCs w:val="22"/>
                <w:lang w:val="ro-RO"/>
              </w:rPr>
            </w:pPr>
            <w:r w:rsidRPr="000F57AA">
              <w:rPr>
                <w:b/>
                <w:bCs/>
                <w:sz w:val="22"/>
                <w:szCs w:val="22"/>
                <w:lang w:val="ro-RO"/>
              </w:rPr>
              <w:t xml:space="preserve">Expuneri, altele decât expunerile faţă de IMM-uri – Cuantumul ponderat la risc al expunerilor – Expuneri în cadrul abordării standardizate </w:t>
            </w:r>
          </w:p>
          <w:p w14:paraId="135901A4" w14:textId="77777777" w:rsidR="001369AE" w:rsidRPr="000F57AA" w:rsidRDefault="001369AE" w:rsidP="0009183C">
            <w:pPr>
              <w:ind w:right="90" w:firstLine="456"/>
              <w:rPr>
                <w:sz w:val="22"/>
                <w:szCs w:val="22"/>
                <w:lang w:val="ro-RO"/>
              </w:rPr>
            </w:pPr>
            <w:r w:rsidRPr="000F57AA">
              <w:rPr>
                <w:sz w:val="22"/>
                <w:szCs w:val="22"/>
                <w:lang w:val="ro-RO"/>
              </w:rPr>
              <w:t xml:space="preserve">Cuantumul ponderat la risc al expunerii activelor care reprezintă expuneri faţă de societăţi în cadrul abordării standardizate, astfel cum sunt prevăzute la pct.59-60 din Regulamentul nr.111/2018, și care nu sunt raportate în {0230;0040} și {0250;0040}. </w:t>
            </w:r>
          </w:p>
          <w:p w14:paraId="3805E96B" w14:textId="58A09D02"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1369AE" w:rsidRPr="000F57AA" w14:paraId="3221EC70" w14:textId="77777777" w:rsidTr="0077559D">
        <w:trPr>
          <w:trHeight w:val="161"/>
        </w:trPr>
        <w:tc>
          <w:tcPr>
            <w:tcW w:w="1129" w:type="dxa"/>
          </w:tcPr>
          <w:p w14:paraId="6BAE8BBC" w14:textId="7AFD812C" w:rsidR="001369AE" w:rsidRPr="000F57AA" w:rsidRDefault="001369AE" w:rsidP="001369AE">
            <w:pPr>
              <w:ind w:right="90"/>
              <w:rPr>
                <w:sz w:val="22"/>
                <w:szCs w:val="22"/>
                <w:lang w:val="ro-RO" w:eastAsia="ru-RU"/>
                <w14:ligatures w14:val="standardContextual"/>
              </w:rPr>
            </w:pPr>
            <w:r w:rsidRPr="000F57AA">
              <w:rPr>
                <w:sz w:val="22"/>
                <w:szCs w:val="22"/>
                <w:lang w:val="ro-RO"/>
              </w:rPr>
              <w:t>{0270;0040}</w:t>
            </w:r>
          </w:p>
        </w:tc>
        <w:tc>
          <w:tcPr>
            <w:tcW w:w="7513" w:type="dxa"/>
          </w:tcPr>
          <w:p w14:paraId="3D1E524A" w14:textId="4E40CFD7"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Expuneri, altele decât expunerile faţă de IMM-uri – Cuantumul ponderat la risc al expunerilor – Expuneri în cadrul abordării bazate pe modele interne de rating </w:t>
            </w:r>
          </w:p>
        </w:tc>
        <w:tc>
          <w:tcPr>
            <w:tcW w:w="992" w:type="dxa"/>
          </w:tcPr>
          <w:p w14:paraId="2233A3DC" w14:textId="007874BD"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74CA0414" w14:textId="77777777" w:rsidTr="0077559D">
        <w:trPr>
          <w:trHeight w:val="161"/>
        </w:trPr>
        <w:tc>
          <w:tcPr>
            <w:tcW w:w="1129" w:type="dxa"/>
          </w:tcPr>
          <w:p w14:paraId="0321A70B" w14:textId="537E5C60" w:rsidR="001369AE" w:rsidRPr="000F57AA" w:rsidRDefault="001369AE" w:rsidP="001369AE">
            <w:pPr>
              <w:ind w:right="90"/>
              <w:rPr>
                <w:sz w:val="22"/>
                <w:szCs w:val="22"/>
                <w:lang w:val="ro-RO" w:eastAsia="ru-RU"/>
                <w14:ligatures w14:val="standardContextual"/>
              </w:rPr>
            </w:pPr>
            <w:r w:rsidRPr="000F57AA">
              <w:rPr>
                <w:sz w:val="22"/>
                <w:szCs w:val="22"/>
                <w:lang w:val="ro-RO"/>
              </w:rPr>
              <w:t>{0280;0010}</w:t>
            </w:r>
          </w:p>
        </w:tc>
        <w:tc>
          <w:tcPr>
            <w:tcW w:w="8505" w:type="dxa"/>
            <w:gridSpan w:val="2"/>
          </w:tcPr>
          <w:p w14:paraId="31AAA63E" w14:textId="77777777" w:rsidR="001369AE" w:rsidRPr="000F57AA" w:rsidRDefault="001369AE" w:rsidP="0009183C">
            <w:pPr>
              <w:ind w:right="90" w:firstLine="456"/>
              <w:rPr>
                <w:b/>
                <w:bCs/>
                <w:sz w:val="22"/>
                <w:szCs w:val="22"/>
                <w:lang w:val="ro-RO"/>
              </w:rPr>
            </w:pPr>
            <w:r w:rsidRPr="000F57AA">
              <w:rPr>
                <w:b/>
                <w:bCs/>
                <w:sz w:val="22"/>
                <w:szCs w:val="22"/>
                <w:lang w:val="ro-RO"/>
              </w:rPr>
              <w:t xml:space="preserve">Expuneri în stare de nerambursare – Valoarea expunerii pentru calcularea indicatorului efectului de levier – Expuneri în cadrul abordării standardizate </w:t>
            </w:r>
          </w:p>
          <w:p w14:paraId="3D11F3FD" w14:textId="7AB86A6B" w:rsidR="001369AE" w:rsidRPr="000F57AA" w:rsidRDefault="001369AE" w:rsidP="0009183C">
            <w:pPr>
              <w:ind w:right="90" w:firstLine="456"/>
              <w:rPr>
                <w:b/>
                <w:bCs/>
                <w:sz w:val="22"/>
                <w:szCs w:val="22"/>
                <w:lang w:val="ro-RO" w:eastAsia="ru-RU"/>
                <w14:ligatures w14:val="standardContextual"/>
              </w:rPr>
            </w:pPr>
            <w:r w:rsidRPr="000F57AA">
              <w:rPr>
                <w:sz w:val="22"/>
                <w:szCs w:val="22"/>
                <w:lang w:val="ro-RO"/>
              </w:rPr>
              <w:t>Băncile raportează valoarea expunerii pentru calcularea indicatorului efectului de levier al activelor care reprezintă expuneri în stare de nerambursare în cadrul abordării standardizate și se încadrează, prin urmare, la pct.73-75 din Regulamentul nr.111/2018.</w:t>
            </w:r>
          </w:p>
        </w:tc>
      </w:tr>
      <w:tr w:rsidR="001369AE" w:rsidRPr="000F57AA" w14:paraId="6FCB6A9E" w14:textId="77777777" w:rsidTr="0077559D">
        <w:trPr>
          <w:trHeight w:val="161"/>
        </w:trPr>
        <w:tc>
          <w:tcPr>
            <w:tcW w:w="1129" w:type="dxa"/>
          </w:tcPr>
          <w:p w14:paraId="5048CB7F" w14:textId="52A37CBE" w:rsidR="001369AE" w:rsidRPr="000F57AA" w:rsidRDefault="001369AE" w:rsidP="001369AE">
            <w:pPr>
              <w:ind w:right="90"/>
              <w:rPr>
                <w:sz w:val="22"/>
                <w:szCs w:val="22"/>
                <w:lang w:val="ro-RO" w:eastAsia="ru-RU"/>
                <w14:ligatures w14:val="standardContextual"/>
              </w:rPr>
            </w:pPr>
            <w:r w:rsidRPr="000F57AA">
              <w:rPr>
                <w:sz w:val="22"/>
                <w:szCs w:val="22"/>
                <w:lang w:val="ro-RO"/>
              </w:rPr>
              <w:t>{0280;0020}</w:t>
            </w:r>
          </w:p>
        </w:tc>
        <w:tc>
          <w:tcPr>
            <w:tcW w:w="7513" w:type="dxa"/>
          </w:tcPr>
          <w:p w14:paraId="796EE58D" w14:textId="35700882" w:rsidR="001369AE" w:rsidRPr="000F57AA" w:rsidRDefault="001369AE" w:rsidP="0009183C">
            <w:pPr>
              <w:ind w:right="90" w:firstLine="456"/>
              <w:rPr>
                <w:b/>
                <w:bCs/>
                <w:sz w:val="22"/>
                <w:szCs w:val="22"/>
                <w:lang w:val="ro-RO" w:eastAsia="ru-RU"/>
                <w14:ligatures w14:val="standardContextual"/>
              </w:rPr>
            </w:pPr>
            <w:r w:rsidRPr="000F57AA">
              <w:rPr>
                <w:b/>
                <w:bCs/>
                <w:sz w:val="22"/>
                <w:szCs w:val="22"/>
                <w:lang w:val="ro-RO"/>
              </w:rPr>
              <w:t xml:space="preserve">Expuneri în stare de nerambursare – Valoarea expunerii pentru calcularea indicatorului efectului de levier – Expuneri în cadrul abordării bazate pe modele interne de rating </w:t>
            </w:r>
          </w:p>
        </w:tc>
        <w:tc>
          <w:tcPr>
            <w:tcW w:w="992" w:type="dxa"/>
          </w:tcPr>
          <w:p w14:paraId="13B3B24A" w14:textId="2A55E9C6"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1369AE" w:rsidRPr="00A05A6A" w14:paraId="235B4603" w14:textId="77777777" w:rsidTr="0077559D">
        <w:trPr>
          <w:trHeight w:val="161"/>
        </w:trPr>
        <w:tc>
          <w:tcPr>
            <w:tcW w:w="1129" w:type="dxa"/>
          </w:tcPr>
          <w:p w14:paraId="26A19A22" w14:textId="2486EF9D" w:rsidR="001369AE" w:rsidRPr="000F57AA" w:rsidRDefault="001369AE" w:rsidP="001369AE">
            <w:pPr>
              <w:ind w:right="90"/>
              <w:rPr>
                <w:sz w:val="22"/>
                <w:szCs w:val="22"/>
                <w:lang w:val="ro-RO" w:eastAsia="ru-RU"/>
                <w14:ligatures w14:val="standardContextual"/>
              </w:rPr>
            </w:pPr>
            <w:r w:rsidRPr="000F57AA">
              <w:rPr>
                <w:sz w:val="22"/>
                <w:szCs w:val="22"/>
                <w:lang w:val="ro-RO"/>
              </w:rPr>
              <w:t>{0280;0030}</w:t>
            </w:r>
          </w:p>
        </w:tc>
        <w:tc>
          <w:tcPr>
            <w:tcW w:w="8505" w:type="dxa"/>
            <w:gridSpan w:val="2"/>
          </w:tcPr>
          <w:p w14:paraId="67A31C32" w14:textId="77777777" w:rsidR="001369AE" w:rsidRPr="000F57AA" w:rsidRDefault="001369AE" w:rsidP="00C074D8">
            <w:pPr>
              <w:ind w:right="90" w:firstLine="456"/>
              <w:rPr>
                <w:b/>
                <w:bCs/>
                <w:sz w:val="22"/>
                <w:szCs w:val="22"/>
                <w:lang w:val="ro-RO"/>
              </w:rPr>
            </w:pPr>
            <w:r w:rsidRPr="000F57AA">
              <w:rPr>
                <w:b/>
                <w:bCs/>
                <w:sz w:val="22"/>
                <w:szCs w:val="22"/>
                <w:lang w:val="ro-RO"/>
              </w:rPr>
              <w:t xml:space="preserve">Expuneri în stare de nerambursare – Cuantumul ponderat la risc al expunerilor – Expuneri în cadrul abordării standardizate </w:t>
            </w:r>
          </w:p>
          <w:p w14:paraId="20A2DF3F" w14:textId="777D92E9" w:rsidR="001369AE" w:rsidRPr="000F57AA" w:rsidRDefault="001369AE" w:rsidP="00C074D8">
            <w:pPr>
              <w:ind w:right="90" w:firstLine="456"/>
              <w:rPr>
                <w:b/>
                <w:bCs/>
                <w:sz w:val="22"/>
                <w:szCs w:val="22"/>
                <w:lang w:val="ro-RO" w:eastAsia="ru-RU"/>
                <w14:ligatures w14:val="standardContextual"/>
              </w:rPr>
            </w:pPr>
            <w:r w:rsidRPr="000F57AA">
              <w:rPr>
                <w:sz w:val="22"/>
                <w:szCs w:val="22"/>
                <w:lang w:val="ro-RO"/>
              </w:rPr>
              <w:t>Băncile raportează cuantumul ponderat la risc al expunerii activelor care reprezintă expuneri în stare de nerambursare și se încadrează, prin urmare, la pct.73-75 din Regulamentul nr.111/2018.</w:t>
            </w:r>
          </w:p>
        </w:tc>
      </w:tr>
      <w:tr w:rsidR="001369AE" w:rsidRPr="000F57AA" w14:paraId="69937ECC" w14:textId="77777777" w:rsidTr="0077559D">
        <w:trPr>
          <w:trHeight w:val="161"/>
        </w:trPr>
        <w:tc>
          <w:tcPr>
            <w:tcW w:w="1129" w:type="dxa"/>
          </w:tcPr>
          <w:p w14:paraId="1CE7263E" w14:textId="4695847A" w:rsidR="001369AE" w:rsidRPr="000F57AA" w:rsidRDefault="001369AE" w:rsidP="001369AE">
            <w:pPr>
              <w:ind w:right="90"/>
              <w:rPr>
                <w:sz w:val="22"/>
                <w:szCs w:val="22"/>
                <w:lang w:val="ro-RO" w:eastAsia="ru-RU"/>
                <w14:ligatures w14:val="standardContextual"/>
              </w:rPr>
            </w:pPr>
            <w:r w:rsidRPr="000F57AA">
              <w:rPr>
                <w:sz w:val="22"/>
                <w:szCs w:val="22"/>
                <w:lang w:val="ro-RO"/>
              </w:rPr>
              <w:t>{0280;0040}</w:t>
            </w:r>
          </w:p>
        </w:tc>
        <w:tc>
          <w:tcPr>
            <w:tcW w:w="7513" w:type="dxa"/>
          </w:tcPr>
          <w:p w14:paraId="4D53F5E0" w14:textId="5D7ADDBF" w:rsidR="001369AE" w:rsidRPr="000F57AA" w:rsidRDefault="001369AE" w:rsidP="00C074D8">
            <w:pPr>
              <w:ind w:right="90" w:firstLine="456"/>
              <w:rPr>
                <w:b/>
                <w:bCs/>
                <w:sz w:val="22"/>
                <w:szCs w:val="22"/>
                <w:lang w:val="ro-RO" w:eastAsia="ru-RU"/>
                <w14:ligatures w14:val="standardContextual"/>
              </w:rPr>
            </w:pPr>
            <w:r w:rsidRPr="000F57AA">
              <w:rPr>
                <w:b/>
                <w:bCs/>
                <w:sz w:val="22"/>
                <w:szCs w:val="22"/>
                <w:lang w:val="ro-RO"/>
              </w:rPr>
              <w:t xml:space="preserve">Expuneri în stare de nerambursare – Cuantumul ponderat la risc al expunerilor – Expuneri în cadrul abordării bazate pe modele interne de rating </w:t>
            </w:r>
          </w:p>
        </w:tc>
        <w:tc>
          <w:tcPr>
            <w:tcW w:w="992" w:type="dxa"/>
          </w:tcPr>
          <w:p w14:paraId="6AB2D49D" w14:textId="5F4A0ED9" w:rsidR="001369AE" w:rsidRPr="000F57AA" w:rsidRDefault="001369AE" w:rsidP="001369AE">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A05A6A" w14:paraId="7BF22CAD" w14:textId="77777777" w:rsidTr="0077559D">
        <w:trPr>
          <w:trHeight w:val="161"/>
        </w:trPr>
        <w:tc>
          <w:tcPr>
            <w:tcW w:w="1129" w:type="dxa"/>
          </w:tcPr>
          <w:p w14:paraId="175B12CF" w14:textId="6357BEBB" w:rsidR="00D60C44" w:rsidRPr="000F57AA" w:rsidRDefault="00D60C44" w:rsidP="00D60C44">
            <w:pPr>
              <w:ind w:right="90"/>
              <w:rPr>
                <w:sz w:val="22"/>
                <w:szCs w:val="22"/>
                <w:lang w:val="ro-RO" w:eastAsia="ru-RU"/>
                <w14:ligatures w14:val="standardContextual"/>
              </w:rPr>
            </w:pPr>
            <w:r w:rsidRPr="000F57AA">
              <w:rPr>
                <w:sz w:val="22"/>
                <w:szCs w:val="22"/>
                <w:lang w:val="ro-RO"/>
              </w:rPr>
              <w:t>{0290;0010}</w:t>
            </w:r>
          </w:p>
        </w:tc>
        <w:tc>
          <w:tcPr>
            <w:tcW w:w="8505" w:type="dxa"/>
            <w:gridSpan w:val="2"/>
          </w:tcPr>
          <w:p w14:paraId="1EE328B7" w14:textId="77777777" w:rsidR="002A6895" w:rsidRPr="000F57AA" w:rsidRDefault="00D60C44" w:rsidP="00C074D8">
            <w:pPr>
              <w:ind w:right="90" w:firstLine="456"/>
              <w:rPr>
                <w:b/>
                <w:bCs/>
                <w:sz w:val="22"/>
                <w:szCs w:val="22"/>
                <w:lang w:val="ro-RO"/>
              </w:rPr>
            </w:pPr>
            <w:r w:rsidRPr="000F57AA">
              <w:rPr>
                <w:b/>
                <w:bCs/>
                <w:sz w:val="22"/>
                <w:szCs w:val="22"/>
                <w:lang w:val="ro-RO"/>
              </w:rPr>
              <w:t xml:space="preserve">Alte expuneri – Valoarea expunerii pentru calcularea indicatorului efectului de levier – Expuneri în cadrul abordării standardizate </w:t>
            </w:r>
          </w:p>
          <w:p w14:paraId="383CEDCA" w14:textId="5C5E0B44" w:rsidR="00D60C44" w:rsidRPr="000F57AA" w:rsidRDefault="00D60C44" w:rsidP="00C074D8">
            <w:pPr>
              <w:ind w:right="90" w:firstLine="456"/>
              <w:rPr>
                <w:sz w:val="22"/>
                <w:szCs w:val="22"/>
                <w:lang w:val="ro-RO"/>
              </w:rPr>
            </w:pPr>
            <w:r w:rsidRPr="000F57AA">
              <w:rPr>
                <w:sz w:val="22"/>
                <w:szCs w:val="22"/>
                <w:lang w:val="ro-RO"/>
              </w:rPr>
              <w:t xml:space="preserve">Valoarea expunerii pentru calcularea indicatorului efectului de levier al activelor încadrate în clasele de expuneri enumerate la pct.11 subpct.11)-16) din Regulamentul nr.111/2018. </w:t>
            </w:r>
          </w:p>
          <w:p w14:paraId="147B40C4" w14:textId="77777777" w:rsidR="00D60C44" w:rsidRPr="000F57AA" w:rsidRDefault="00D60C44" w:rsidP="00C074D8">
            <w:pPr>
              <w:ind w:right="90" w:firstLine="456"/>
              <w:rPr>
                <w:sz w:val="22"/>
                <w:szCs w:val="22"/>
                <w:lang w:val="ro-RO"/>
              </w:rPr>
            </w:pPr>
            <w:r w:rsidRPr="000F57AA">
              <w:rPr>
                <w:sz w:val="22"/>
                <w:szCs w:val="22"/>
                <w:lang w:val="ro-RO"/>
              </w:rPr>
              <w:t xml:space="preserve">Băncile raportează activele care sunt deduse din fondurile proprii (de exemplu, imobilizările necorporale), dar nu pot fi clasificate altfel, chiar dacă o astfel de clasificare nu este necesară pentru determinarea cerinţelor de fonduri proprii bazate pe risc în coloanele {*; 0030} și {*; 0040}. </w:t>
            </w:r>
          </w:p>
          <w:p w14:paraId="1BED5C14" w14:textId="577065A2" w:rsidR="00D60C44" w:rsidRPr="000F57AA" w:rsidRDefault="00D60C44" w:rsidP="00C074D8">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60C44" w:rsidRPr="000F57AA" w14:paraId="5BE2D6B4" w14:textId="77777777" w:rsidTr="0077559D">
        <w:trPr>
          <w:trHeight w:val="161"/>
        </w:trPr>
        <w:tc>
          <w:tcPr>
            <w:tcW w:w="1129" w:type="dxa"/>
          </w:tcPr>
          <w:p w14:paraId="4681554E" w14:textId="0642D902" w:rsidR="00D60C44" w:rsidRPr="000F57AA" w:rsidRDefault="00D60C44" w:rsidP="00D60C44">
            <w:pPr>
              <w:ind w:right="90"/>
              <w:rPr>
                <w:sz w:val="22"/>
                <w:szCs w:val="22"/>
                <w:lang w:val="ro-RO" w:eastAsia="ru-RU"/>
                <w14:ligatures w14:val="standardContextual"/>
              </w:rPr>
            </w:pPr>
            <w:r w:rsidRPr="000F57AA">
              <w:rPr>
                <w:sz w:val="22"/>
                <w:szCs w:val="22"/>
                <w:lang w:val="ro-RO"/>
              </w:rPr>
              <w:t>{0290;0020}</w:t>
            </w:r>
          </w:p>
        </w:tc>
        <w:tc>
          <w:tcPr>
            <w:tcW w:w="7513" w:type="dxa"/>
          </w:tcPr>
          <w:p w14:paraId="4D3C0587" w14:textId="2AB5F502"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Alte expuneri – Valoarea expunerii pentru calcularea indicatorului efectului de levier – Expuneri în cadrul abordării bazate pe modele interne de rating</w:t>
            </w:r>
          </w:p>
        </w:tc>
        <w:tc>
          <w:tcPr>
            <w:tcW w:w="992" w:type="dxa"/>
          </w:tcPr>
          <w:p w14:paraId="6AB27942" w14:textId="09AA1FFD"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A05A6A" w14:paraId="037AB1AB" w14:textId="77777777" w:rsidTr="0077559D">
        <w:trPr>
          <w:trHeight w:val="161"/>
        </w:trPr>
        <w:tc>
          <w:tcPr>
            <w:tcW w:w="1129" w:type="dxa"/>
          </w:tcPr>
          <w:p w14:paraId="0EBBC00C" w14:textId="76254F68" w:rsidR="00D60C44" w:rsidRPr="000F57AA" w:rsidRDefault="00D60C44" w:rsidP="00D60C44">
            <w:pPr>
              <w:ind w:right="90"/>
              <w:rPr>
                <w:sz w:val="22"/>
                <w:szCs w:val="22"/>
                <w:lang w:val="ro-RO" w:eastAsia="ru-RU"/>
                <w14:ligatures w14:val="standardContextual"/>
              </w:rPr>
            </w:pPr>
            <w:r w:rsidRPr="000F57AA">
              <w:rPr>
                <w:sz w:val="22"/>
                <w:szCs w:val="22"/>
                <w:lang w:val="ro-RO"/>
              </w:rPr>
              <w:t>{0290;0030}</w:t>
            </w:r>
          </w:p>
        </w:tc>
        <w:tc>
          <w:tcPr>
            <w:tcW w:w="8505" w:type="dxa"/>
            <w:gridSpan w:val="2"/>
          </w:tcPr>
          <w:p w14:paraId="1064428B" w14:textId="77777777" w:rsidR="00D60C44" w:rsidRPr="000F57AA" w:rsidRDefault="00D60C44" w:rsidP="00C074D8">
            <w:pPr>
              <w:ind w:right="90" w:firstLine="456"/>
              <w:rPr>
                <w:b/>
                <w:bCs/>
                <w:sz w:val="22"/>
                <w:szCs w:val="22"/>
                <w:lang w:val="ro-RO"/>
              </w:rPr>
            </w:pPr>
            <w:r w:rsidRPr="000F57AA">
              <w:rPr>
                <w:b/>
                <w:bCs/>
                <w:sz w:val="22"/>
                <w:szCs w:val="22"/>
                <w:lang w:val="ro-RO"/>
              </w:rPr>
              <w:t xml:space="preserve">Alte expuneri – Cuantumul ponderat la risc al expunerilor – Expuneri în cadrul abordării standardizate </w:t>
            </w:r>
          </w:p>
          <w:p w14:paraId="7159886A" w14:textId="77777777" w:rsidR="00D60C44" w:rsidRPr="000F57AA" w:rsidRDefault="00D60C44" w:rsidP="00C074D8">
            <w:pPr>
              <w:ind w:right="90" w:firstLine="456"/>
              <w:rPr>
                <w:sz w:val="22"/>
                <w:szCs w:val="22"/>
                <w:lang w:val="ro-RO"/>
              </w:rPr>
            </w:pPr>
            <w:r w:rsidRPr="000F57AA">
              <w:rPr>
                <w:sz w:val="22"/>
                <w:szCs w:val="22"/>
                <w:lang w:val="ro-RO"/>
              </w:rPr>
              <w:t xml:space="preserve">Valoarea ponderată la risc a expunerii activelor încadrate în clasele de expuneri enumerate la pct.11 subpct.11)-16) din Regulamentul nr.111/2018. </w:t>
            </w:r>
          </w:p>
          <w:p w14:paraId="53C33951" w14:textId="12D33403" w:rsidR="00D60C44" w:rsidRPr="000F57AA" w:rsidRDefault="00D60C44" w:rsidP="00C074D8">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D60C44" w:rsidRPr="000F57AA" w14:paraId="36B5FF86" w14:textId="77777777" w:rsidTr="0077559D">
        <w:trPr>
          <w:trHeight w:val="161"/>
        </w:trPr>
        <w:tc>
          <w:tcPr>
            <w:tcW w:w="1129" w:type="dxa"/>
          </w:tcPr>
          <w:p w14:paraId="53806A29" w14:textId="73339B81" w:rsidR="00D60C44" w:rsidRPr="000F57AA" w:rsidRDefault="00D60C44" w:rsidP="00D60C44">
            <w:pPr>
              <w:ind w:right="90"/>
              <w:rPr>
                <w:sz w:val="22"/>
                <w:szCs w:val="22"/>
                <w:lang w:val="ro-RO" w:eastAsia="ru-RU"/>
                <w14:ligatures w14:val="standardContextual"/>
              </w:rPr>
            </w:pPr>
            <w:r w:rsidRPr="000F57AA">
              <w:rPr>
                <w:sz w:val="22"/>
                <w:szCs w:val="22"/>
                <w:lang w:val="ro-RO"/>
              </w:rPr>
              <w:t>{0290;0040}</w:t>
            </w:r>
          </w:p>
        </w:tc>
        <w:tc>
          <w:tcPr>
            <w:tcW w:w="7513" w:type="dxa"/>
          </w:tcPr>
          <w:p w14:paraId="3E1E58C0" w14:textId="731E0067"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 xml:space="preserve">Alte expuneri – Cuantumul ponderat la risc al expunerilor – Expuneri în cadrul abordării bazate pe modele interne de rating </w:t>
            </w:r>
          </w:p>
        </w:tc>
        <w:tc>
          <w:tcPr>
            <w:tcW w:w="992" w:type="dxa"/>
          </w:tcPr>
          <w:p w14:paraId="00757FD7" w14:textId="7B923C17"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0F57AA" w14:paraId="55476029" w14:textId="77777777" w:rsidTr="0077559D">
        <w:trPr>
          <w:trHeight w:val="161"/>
        </w:trPr>
        <w:tc>
          <w:tcPr>
            <w:tcW w:w="1129" w:type="dxa"/>
          </w:tcPr>
          <w:p w14:paraId="0BAF3399" w14:textId="54717C9D" w:rsidR="00D60C44" w:rsidRPr="000F57AA" w:rsidRDefault="00D60C44" w:rsidP="00D60C44">
            <w:pPr>
              <w:ind w:right="90"/>
              <w:rPr>
                <w:sz w:val="22"/>
                <w:szCs w:val="22"/>
                <w:lang w:val="ro-RO" w:eastAsia="ru-RU"/>
                <w14:ligatures w14:val="standardContextual"/>
              </w:rPr>
            </w:pPr>
            <w:r w:rsidRPr="000F57AA">
              <w:rPr>
                <w:sz w:val="22"/>
                <w:szCs w:val="22"/>
                <w:lang w:val="ro-RO"/>
              </w:rPr>
              <w:t>{0300;0010}</w:t>
            </w:r>
          </w:p>
        </w:tc>
        <w:tc>
          <w:tcPr>
            <w:tcW w:w="7513" w:type="dxa"/>
          </w:tcPr>
          <w:p w14:paraId="620EA94E" w14:textId="1F3B9BF1"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Din care: Expuneri din securitizare – Valoarea expunerii pentru calcularea indicatorului efectului de levier – Expuneri în cadrul abordării standardizate</w:t>
            </w:r>
          </w:p>
        </w:tc>
        <w:tc>
          <w:tcPr>
            <w:tcW w:w="992" w:type="dxa"/>
          </w:tcPr>
          <w:p w14:paraId="5B5B3685" w14:textId="1A66594C"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0F57AA" w14:paraId="05D6FF59" w14:textId="77777777" w:rsidTr="0077559D">
        <w:trPr>
          <w:trHeight w:val="161"/>
        </w:trPr>
        <w:tc>
          <w:tcPr>
            <w:tcW w:w="1129" w:type="dxa"/>
          </w:tcPr>
          <w:p w14:paraId="69A4DF48" w14:textId="31FB937D" w:rsidR="00D60C44" w:rsidRPr="000F57AA" w:rsidRDefault="00D60C44" w:rsidP="00D60C44">
            <w:pPr>
              <w:ind w:right="90"/>
              <w:rPr>
                <w:sz w:val="22"/>
                <w:szCs w:val="22"/>
                <w:lang w:val="ro-RO" w:eastAsia="ru-RU"/>
                <w14:ligatures w14:val="standardContextual"/>
              </w:rPr>
            </w:pPr>
            <w:r w:rsidRPr="000F57AA">
              <w:rPr>
                <w:sz w:val="22"/>
                <w:szCs w:val="22"/>
                <w:lang w:val="ro-RO"/>
              </w:rPr>
              <w:lastRenderedPageBreak/>
              <w:t>{0300;0020}</w:t>
            </w:r>
          </w:p>
        </w:tc>
        <w:tc>
          <w:tcPr>
            <w:tcW w:w="7513" w:type="dxa"/>
          </w:tcPr>
          <w:p w14:paraId="0618016F" w14:textId="4C02FD33"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 xml:space="preserve">Din care: Expuneri din securitizare – Valoarea expunerii pentru calcularea indicatorului efectului de levier – Expuneri în cadrul abordării bazate pe modele interne de rating </w:t>
            </w:r>
          </w:p>
        </w:tc>
        <w:tc>
          <w:tcPr>
            <w:tcW w:w="992" w:type="dxa"/>
          </w:tcPr>
          <w:p w14:paraId="7516C6D6" w14:textId="0E47B7B8"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0F57AA" w14:paraId="52820875" w14:textId="77777777" w:rsidTr="0077559D">
        <w:trPr>
          <w:trHeight w:val="161"/>
        </w:trPr>
        <w:tc>
          <w:tcPr>
            <w:tcW w:w="1129" w:type="dxa"/>
          </w:tcPr>
          <w:p w14:paraId="0D718598" w14:textId="006574B2" w:rsidR="00D60C44" w:rsidRPr="000F57AA" w:rsidRDefault="00D60C44" w:rsidP="00D60C44">
            <w:pPr>
              <w:ind w:right="90"/>
              <w:rPr>
                <w:sz w:val="22"/>
                <w:szCs w:val="22"/>
                <w:lang w:val="ro-RO" w:eastAsia="ru-RU"/>
                <w14:ligatures w14:val="standardContextual"/>
              </w:rPr>
            </w:pPr>
            <w:r w:rsidRPr="000F57AA">
              <w:rPr>
                <w:sz w:val="22"/>
                <w:szCs w:val="22"/>
                <w:lang w:val="ro-RO"/>
              </w:rPr>
              <w:t>{0300;0030}</w:t>
            </w:r>
          </w:p>
        </w:tc>
        <w:tc>
          <w:tcPr>
            <w:tcW w:w="7513" w:type="dxa"/>
          </w:tcPr>
          <w:p w14:paraId="2E40DBE5" w14:textId="112BBEEE"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 xml:space="preserve">Din care: Expuneri din securitizare – Cuantumul ponderat la risc al expunerilor – Expuneri în cadrul abordării standardizate </w:t>
            </w:r>
          </w:p>
        </w:tc>
        <w:tc>
          <w:tcPr>
            <w:tcW w:w="992" w:type="dxa"/>
          </w:tcPr>
          <w:p w14:paraId="571EC540" w14:textId="7BF947BB"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D60C44" w:rsidRPr="000F57AA" w14:paraId="2921667F" w14:textId="77777777" w:rsidTr="0077559D">
        <w:trPr>
          <w:trHeight w:val="161"/>
        </w:trPr>
        <w:tc>
          <w:tcPr>
            <w:tcW w:w="1129" w:type="dxa"/>
          </w:tcPr>
          <w:p w14:paraId="515F0D19" w14:textId="60BCF1A5" w:rsidR="00D60C44" w:rsidRPr="000F57AA" w:rsidRDefault="00D60C44" w:rsidP="00D60C44">
            <w:pPr>
              <w:ind w:right="90"/>
              <w:rPr>
                <w:sz w:val="22"/>
                <w:szCs w:val="22"/>
                <w:lang w:val="ro-RO" w:eastAsia="ru-RU"/>
                <w14:ligatures w14:val="standardContextual"/>
              </w:rPr>
            </w:pPr>
            <w:r w:rsidRPr="000F57AA">
              <w:rPr>
                <w:sz w:val="22"/>
                <w:szCs w:val="22"/>
                <w:lang w:val="ro-RO"/>
              </w:rPr>
              <w:t>{0300;0040}</w:t>
            </w:r>
          </w:p>
        </w:tc>
        <w:tc>
          <w:tcPr>
            <w:tcW w:w="7513" w:type="dxa"/>
          </w:tcPr>
          <w:p w14:paraId="0AC9B099" w14:textId="4D73641F" w:rsidR="00D60C44" w:rsidRPr="000F57AA" w:rsidRDefault="00D60C44" w:rsidP="00C074D8">
            <w:pPr>
              <w:ind w:right="90" w:firstLine="456"/>
              <w:rPr>
                <w:b/>
                <w:bCs/>
                <w:sz w:val="22"/>
                <w:szCs w:val="22"/>
                <w:lang w:val="ro-RO" w:eastAsia="ru-RU"/>
                <w14:ligatures w14:val="standardContextual"/>
              </w:rPr>
            </w:pPr>
            <w:r w:rsidRPr="000F57AA">
              <w:rPr>
                <w:b/>
                <w:bCs/>
                <w:sz w:val="22"/>
                <w:szCs w:val="22"/>
                <w:lang w:val="ro-RO"/>
              </w:rPr>
              <w:t xml:space="preserve">Din care: Expuneri din securitizare – Cuantumul ponderat la risc al expunerilor – Expuneri în cadrul abordării bazate pe modele interne de rating </w:t>
            </w:r>
          </w:p>
        </w:tc>
        <w:tc>
          <w:tcPr>
            <w:tcW w:w="992" w:type="dxa"/>
          </w:tcPr>
          <w:p w14:paraId="46864C14" w14:textId="08B0C053" w:rsidR="00D60C44" w:rsidRPr="000F57AA" w:rsidRDefault="00D60C44" w:rsidP="00D60C44">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0A3435" w:rsidRPr="00A05A6A" w14:paraId="3CDB1FFB" w14:textId="77777777" w:rsidTr="00F44FD3">
        <w:trPr>
          <w:trHeight w:val="161"/>
        </w:trPr>
        <w:tc>
          <w:tcPr>
            <w:tcW w:w="1129" w:type="dxa"/>
          </w:tcPr>
          <w:p w14:paraId="29E7FF2B" w14:textId="295562F8" w:rsidR="000A3435" w:rsidRPr="000F57AA" w:rsidRDefault="000A3435" w:rsidP="00EB461B">
            <w:pPr>
              <w:ind w:right="90"/>
              <w:rPr>
                <w:sz w:val="22"/>
                <w:szCs w:val="22"/>
                <w:lang w:val="ro-RO" w:eastAsia="ru-RU"/>
                <w14:ligatures w14:val="standardContextual"/>
              </w:rPr>
            </w:pPr>
            <w:r w:rsidRPr="000F57AA">
              <w:rPr>
                <w:sz w:val="22"/>
                <w:szCs w:val="22"/>
                <w:lang w:val="ro-RO"/>
              </w:rPr>
              <w:t>{0310;0010}</w:t>
            </w:r>
          </w:p>
        </w:tc>
        <w:tc>
          <w:tcPr>
            <w:tcW w:w="8505" w:type="dxa"/>
            <w:gridSpan w:val="2"/>
          </w:tcPr>
          <w:p w14:paraId="37E2B663" w14:textId="0B9DB55F" w:rsidR="000A3435" w:rsidRPr="000F57AA" w:rsidRDefault="000A3435" w:rsidP="002A6895">
            <w:pPr>
              <w:ind w:right="90" w:firstLine="456"/>
              <w:rPr>
                <w:sz w:val="22"/>
                <w:szCs w:val="22"/>
                <w:lang w:val="ro-RO" w:eastAsia="ru-RU"/>
                <w14:ligatures w14:val="standardContextual"/>
              </w:rPr>
            </w:pPr>
            <w:r w:rsidRPr="000F57AA">
              <w:rPr>
                <w:b/>
                <w:bCs/>
                <w:sz w:val="22"/>
                <w:szCs w:val="22"/>
                <w:lang w:val="ro-RO"/>
              </w:rPr>
              <w:t>Finanţarea comerţului (element memorandum) – Valoarea expunerii pentru calcularea indicatorului efectului de levier – Expuneri în cadrul abordării standardizate</w:t>
            </w:r>
          </w:p>
          <w:p w14:paraId="0A3E401E" w14:textId="55F70C7B" w:rsidR="000A3435" w:rsidRPr="000F57AA" w:rsidRDefault="000A3435" w:rsidP="002A6895">
            <w:pPr>
              <w:ind w:right="90" w:firstLine="456"/>
              <w:rPr>
                <w:sz w:val="22"/>
                <w:szCs w:val="22"/>
                <w:lang w:val="ro-RO"/>
              </w:rPr>
            </w:pPr>
            <w:r w:rsidRPr="000F57AA">
              <w:rPr>
                <w:sz w:val="22"/>
                <w:szCs w:val="22"/>
                <w:lang w:val="ro-RO" w:eastAsia="ru-RU"/>
                <w14:ligatures w14:val="standardContextual"/>
              </w:rPr>
              <w:t xml:space="preserve"> </w:t>
            </w:r>
            <w:r w:rsidRPr="000F57AA">
              <w:rPr>
                <w:sz w:val="22"/>
                <w:szCs w:val="22"/>
                <w:lang w:val="ro-RO"/>
              </w:rPr>
              <w:t xml:space="preserve">Valoarea expunerii pentru calcularea indicatorului efectului de levier al elementelor bilanţiere care se referă la darea cu împrumut către un exportator sau un importator de bunuri sau servicii prin intermediul creditelor de import sau de export și la operaţiuni similare. </w:t>
            </w:r>
          </w:p>
          <w:p w14:paraId="4434E8FE" w14:textId="284D96B9" w:rsidR="000A3435" w:rsidRPr="000F57AA" w:rsidRDefault="000A3435" w:rsidP="002A6895">
            <w:pPr>
              <w:ind w:right="90" w:firstLine="456"/>
              <w:rPr>
                <w:b/>
                <w:bCs/>
                <w:sz w:val="22"/>
                <w:szCs w:val="22"/>
                <w:lang w:val="ro-RO" w:eastAsia="ru-RU"/>
                <w14:ligatures w14:val="standardContextual"/>
              </w:rPr>
            </w:pPr>
            <w:r w:rsidRPr="000F57AA">
              <w:rPr>
                <w:sz w:val="22"/>
                <w:szCs w:val="22"/>
                <w:lang w:val="ro-RO"/>
              </w:rPr>
              <w:t xml:space="preserve">  Băncile raportează valoarea obţinută după scăderea expunerilor aflate în stare de nerambursare în cadrul abordării standardizate.</w:t>
            </w:r>
          </w:p>
        </w:tc>
      </w:tr>
      <w:tr w:rsidR="00EB461B" w:rsidRPr="000F57AA" w14:paraId="601364D0" w14:textId="77777777" w:rsidTr="0077559D">
        <w:trPr>
          <w:trHeight w:val="161"/>
        </w:trPr>
        <w:tc>
          <w:tcPr>
            <w:tcW w:w="1129" w:type="dxa"/>
          </w:tcPr>
          <w:p w14:paraId="06B1D052" w14:textId="2B9289AF" w:rsidR="00EB461B" w:rsidRPr="000F57AA" w:rsidRDefault="00EB461B" w:rsidP="00EB461B">
            <w:pPr>
              <w:ind w:right="90"/>
              <w:rPr>
                <w:sz w:val="22"/>
                <w:szCs w:val="22"/>
                <w:lang w:val="ro-RO" w:eastAsia="ru-RU"/>
                <w14:ligatures w14:val="standardContextual"/>
              </w:rPr>
            </w:pPr>
            <w:r w:rsidRPr="000F57AA">
              <w:rPr>
                <w:sz w:val="22"/>
                <w:szCs w:val="22"/>
                <w:lang w:val="ro-RO"/>
              </w:rPr>
              <w:t>{0310;0020}</w:t>
            </w:r>
          </w:p>
        </w:tc>
        <w:tc>
          <w:tcPr>
            <w:tcW w:w="7513" w:type="dxa"/>
          </w:tcPr>
          <w:p w14:paraId="5576B526" w14:textId="5C76842D" w:rsidR="00EB461B" w:rsidRPr="000F57AA" w:rsidRDefault="00EB461B" w:rsidP="00C074D8">
            <w:pPr>
              <w:ind w:right="90" w:firstLine="456"/>
              <w:rPr>
                <w:b/>
                <w:bCs/>
                <w:sz w:val="22"/>
                <w:szCs w:val="22"/>
                <w:lang w:val="ro-RO" w:eastAsia="ru-RU"/>
                <w14:ligatures w14:val="standardContextual"/>
              </w:rPr>
            </w:pPr>
            <w:r w:rsidRPr="000F57AA">
              <w:rPr>
                <w:b/>
                <w:bCs/>
                <w:sz w:val="22"/>
                <w:szCs w:val="22"/>
                <w:lang w:val="ro-RO"/>
              </w:rPr>
              <w:t xml:space="preserve">Finanţarea comerţului (element memorandum) – Valoarea expunerii pentru calcularea indicatorului efectului de levier – Expuneri în cadrul abordării bazate pe modele interne de rating </w:t>
            </w:r>
          </w:p>
        </w:tc>
        <w:tc>
          <w:tcPr>
            <w:tcW w:w="992" w:type="dxa"/>
          </w:tcPr>
          <w:p w14:paraId="6E9187CB" w14:textId="400F2514" w:rsidR="00EB461B" w:rsidRPr="000F57AA" w:rsidRDefault="00EB461B" w:rsidP="00EB461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427EF5" w:rsidRPr="00A05A6A" w14:paraId="7C9EB78C" w14:textId="77777777" w:rsidTr="00F34E9B">
        <w:trPr>
          <w:trHeight w:val="161"/>
        </w:trPr>
        <w:tc>
          <w:tcPr>
            <w:tcW w:w="1129" w:type="dxa"/>
          </w:tcPr>
          <w:p w14:paraId="2A224950" w14:textId="3AA7635A" w:rsidR="00427EF5" w:rsidRPr="000F57AA" w:rsidRDefault="00427EF5" w:rsidP="00EB461B">
            <w:pPr>
              <w:ind w:right="90"/>
              <w:rPr>
                <w:sz w:val="22"/>
                <w:szCs w:val="22"/>
                <w:lang w:val="ro-RO" w:eastAsia="ru-RU"/>
                <w14:ligatures w14:val="standardContextual"/>
              </w:rPr>
            </w:pPr>
            <w:r w:rsidRPr="000F57AA">
              <w:rPr>
                <w:sz w:val="22"/>
                <w:szCs w:val="22"/>
                <w:lang w:val="ro-RO"/>
              </w:rPr>
              <w:t>{0310;0030}</w:t>
            </w:r>
          </w:p>
        </w:tc>
        <w:tc>
          <w:tcPr>
            <w:tcW w:w="8505" w:type="dxa"/>
            <w:gridSpan w:val="2"/>
          </w:tcPr>
          <w:p w14:paraId="590E8384" w14:textId="292EB67F" w:rsidR="00427EF5" w:rsidRPr="000F57AA" w:rsidRDefault="00427EF5" w:rsidP="002A6895">
            <w:pPr>
              <w:ind w:right="90" w:firstLine="456"/>
              <w:rPr>
                <w:sz w:val="22"/>
                <w:szCs w:val="22"/>
                <w:lang w:val="ro-RO" w:eastAsia="ru-RU"/>
                <w14:ligatures w14:val="standardContextual"/>
              </w:rPr>
            </w:pPr>
            <w:r w:rsidRPr="000F57AA">
              <w:rPr>
                <w:b/>
                <w:bCs/>
                <w:sz w:val="22"/>
                <w:szCs w:val="22"/>
                <w:lang w:val="ro-RO"/>
              </w:rPr>
              <w:t xml:space="preserve">Finanţarea comerţului (element memorandum) – Cuantumul ponderat la risc al expunerilor – Expuneri în cadrul abordării standardizate </w:t>
            </w:r>
          </w:p>
          <w:p w14:paraId="31864EFC" w14:textId="698A2ABF" w:rsidR="00427EF5" w:rsidRPr="000F57AA" w:rsidRDefault="00427EF5" w:rsidP="002A6895">
            <w:pPr>
              <w:ind w:right="90" w:firstLine="456"/>
              <w:rPr>
                <w:sz w:val="22"/>
                <w:szCs w:val="22"/>
                <w:lang w:val="ro-RO"/>
              </w:rPr>
            </w:pPr>
            <w:r w:rsidRPr="000F57AA">
              <w:rPr>
                <w:sz w:val="22"/>
                <w:szCs w:val="22"/>
                <w:lang w:val="ro-RO" w:eastAsia="ru-RU"/>
                <w14:ligatures w14:val="standardContextual"/>
              </w:rPr>
              <w:t xml:space="preserve">  </w:t>
            </w:r>
            <w:r w:rsidRPr="000F57AA">
              <w:rPr>
                <w:sz w:val="22"/>
                <w:szCs w:val="22"/>
                <w:lang w:val="ro-RO"/>
              </w:rPr>
              <w:t xml:space="preserve">Valoarea ponderată la risc a expunerii elementelor bilanţiere care se referă la darea cu împrumut către un exportator sau un importator de bunuri sau servicii prin intermediul creditelor de import sau de export și la operaţiuni similare. </w:t>
            </w:r>
          </w:p>
          <w:p w14:paraId="00634D72" w14:textId="00613C2C" w:rsidR="00427EF5" w:rsidRPr="000F57AA" w:rsidRDefault="00427EF5" w:rsidP="002A6895">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EB461B" w:rsidRPr="000F57AA" w14:paraId="474AAE52" w14:textId="77777777" w:rsidTr="0077559D">
        <w:trPr>
          <w:trHeight w:val="161"/>
        </w:trPr>
        <w:tc>
          <w:tcPr>
            <w:tcW w:w="1129" w:type="dxa"/>
          </w:tcPr>
          <w:p w14:paraId="54BEC4AA" w14:textId="733CB73B" w:rsidR="00EB461B" w:rsidRPr="000F57AA" w:rsidRDefault="00EB461B" w:rsidP="00EB461B">
            <w:pPr>
              <w:ind w:right="90"/>
              <w:rPr>
                <w:sz w:val="22"/>
                <w:szCs w:val="22"/>
                <w:lang w:val="ro-RO" w:eastAsia="ru-RU"/>
                <w14:ligatures w14:val="standardContextual"/>
              </w:rPr>
            </w:pPr>
            <w:r w:rsidRPr="000F57AA">
              <w:rPr>
                <w:sz w:val="22"/>
                <w:szCs w:val="22"/>
                <w:lang w:val="ro-RO"/>
              </w:rPr>
              <w:t>{0310;0040}</w:t>
            </w:r>
          </w:p>
        </w:tc>
        <w:tc>
          <w:tcPr>
            <w:tcW w:w="7513" w:type="dxa"/>
          </w:tcPr>
          <w:p w14:paraId="099AC396" w14:textId="0401E8C8" w:rsidR="00EB461B" w:rsidRPr="000F57AA" w:rsidRDefault="00EB461B" w:rsidP="00C074D8">
            <w:pPr>
              <w:ind w:right="90" w:firstLine="456"/>
              <w:rPr>
                <w:b/>
                <w:bCs/>
                <w:sz w:val="22"/>
                <w:szCs w:val="22"/>
                <w:lang w:val="ro-RO" w:eastAsia="ru-RU"/>
                <w14:ligatures w14:val="standardContextual"/>
              </w:rPr>
            </w:pPr>
            <w:r w:rsidRPr="000F57AA">
              <w:rPr>
                <w:b/>
                <w:bCs/>
                <w:sz w:val="22"/>
                <w:szCs w:val="22"/>
                <w:lang w:val="ro-RO"/>
              </w:rPr>
              <w:t xml:space="preserve">Finanţarea comerţului (element memorandum) – Cuantumul ponderat la risc al expunerilor – Expuneri în cadrul abordării bazate pe modele interne de rating </w:t>
            </w:r>
          </w:p>
        </w:tc>
        <w:tc>
          <w:tcPr>
            <w:tcW w:w="992" w:type="dxa"/>
          </w:tcPr>
          <w:p w14:paraId="358B97C8" w14:textId="67A3F5E9" w:rsidR="00EB461B" w:rsidRPr="000F57AA" w:rsidRDefault="00EB461B" w:rsidP="00EB461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824BD4" w:rsidRPr="00A05A6A" w14:paraId="00FB19AC" w14:textId="77777777" w:rsidTr="00A31B9B">
        <w:trPr>
          <w:trHeight w:val="161"/>
        </w:trPr>
        <w:tc>
          <w:tcPr>
            <w:tcW w:w="1129" w:type="dxa"/>
          </w:tcPr>
          <w:p w14:paraId="1A7730A0" w14:textId="29D08F5E" w:rsidR="00824BD4" w:rsidRPr="000F57AA" w:rsidRDefault="00824BD4" w:rsidP="00EB461B">
            <w:pPr>
              <w:ind w:right="90"/>
              <w:rPr>
                <w:sz w:val="22"/>
                <w:szCs w:val="22"/>
                <w:lang w:val="ro-RO" w:eastAsia="ru-RU"/>
                <w14:ligatures w14:val="standardContextual"/>
              </w:rPr>
            </w:pPr>
            <w:r w:rsidRPr="000F57AA">
              <w:rPr>
                <w:sz w:val="22"/>
                <w:szCs w:val="22"/>
                <w:lang w:val="ro-RO"/>
              </w:rPr>
              <w:t>{0320;0010}</w:t>
            </w:r>
          </w:p>
        </w:tc>
        <w:tc>
          <w:tcPr>
            <w:tcW w:w="8505" w:type="dxa"/>
            <w:gridSpan w:val="2"/>
          </w:tcPr>
          <w:p w14:paraId="3072CB30" w14:textId="2D4E02A2" w:rsidR="00824BD4" w:rsidRPr="000F57AA" w:rsidRDefault="00824BD4" w:rsidP="002A6895">
            <w:pPr>
              <w:ind w:right="90" w:firstLine="456"/>
              <w:rPr>
                <w:sz w:val="22"/>
                <w:szCs w:val="22"/>
                <w:lang w:val="ro-RO" w:eastAsia="ru-RU"/>
                <w14:ligatures w14:val="standardContextual"/>
              </w:rPr>
            </w:pPr>
            <w:r w:rsidRPr="000F57AA">
              <w:rPr>
                <w:b/>
                <w:bCs/>
                <w:sz w:val="22"/>
                <w:szCs w:val="22"/>
                <w:lang w:val="ro-RO"/>
              </w:rPr>
              <w:t xml:space="preserve">Din care: În cadrul schemei oficiale de asigurare a creditelor de export – Valoarea expunerii pentru calcularea indicatorului efectului de levier – Expuneri în cadrul abordării standardizate </w:t>
            </w:r>
          </w:p>
          <w:p w14:paraId="74EF8F81" w14:textId="755534F1" w:rsidR="00824BD4" w:rsidRPr="000F57AA" w:rsidRDefault="00824BD4" w:rsidP="002A6895">
            <w:pPr>
              <w:ind w:right="90" w:firstLine="456"/>
              <w:rPr>
                <w:sz w:val="22"/>
                <w:szCs w:val="22"/>
                <w:lang w:val="ro-RO"/>
              </w:rPr>
            </w:pPr>
            <w:r w:rsidRPr="000F57AA">
              <w:rPr>
                <w:sz w:val="22"/>
                <w:szCs w:val="22"/>
                <w:lang w:val="ro-RO" w:eastAsia="ru-RU"/>
                <w14:ligatures w14:val="standardContextual"/>
              </w:rPr>
              <w:t xml:space="preserve"> </w:t>
            </w:r>
            <w:r w:rsidRPr="000F57AA">
              <w:rPr>
                <w:sz w:val="22"/>
                <w:szCs w:val="22"/>
                <w:lang w:val="ro-RO"/>
              </w:rPr>
              <w:t>Valoarea expunerii pentru calcularea indicatorului efectului de levier al elementelor bilanţiere care se referă la finanţarea comerţului în cadrul unei scheme oficiale de asigurare a creditelor de export.</w:t>
            </w:r>
            <w:r w:rsidR="00463AEB" w:rsidRPr="000F57AA">
              <w:rPr>
                <w:sz w:val="22"/>
                <w:szCs w:val="22"/>
                <w:lang w:val="ro-RO"/>
              </w:rPr>
              <w:t xml:space="preserve"> </w:t>
            </w:r>
            <w:r w:rsidRPr="000F57AA">
              <w:rPr>
                <w:sz w:val="22"/>
                <w:szCs w:val="22"/>
                <w:lang w:val="ro-RO"/>
              </w:rPr>
              <w:t xml:space="preserve">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și granturi), asigurare a creditelor de export și garanţii. </w:t>
            </w:r>
          </w:p>
          <w:p w14:paraId="699129BD" w14:textId="7FBA9F2D" w:rsidR="00824BD4" w:rsidRPr="000F57AA" w:rsidRDefault="00824BD4" w:rsidP="002A6895">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EB461B" w:rsidRPr="000F57AA" w14:paraId="7CA6FE88" w14:textId="77777777" w:rsidTr="0077559D">
        <w:trPr>
          <w:trHeight w:val="161"/>
        </w:trPr>
        <w:tc>
          <w:tcPr>
            <w:tcW w:w="1129" w:type="dxa"/>
          </w:tcPr>
          <w:p w14:paraId="51859E74" w14:textId="4386DDF4" w:rsidR="00EB461B" w:rsidRPr="000F57AA" w:rsidRDefault="00EB461B" w:rsidP="00EB461B">
            <w:pPr>
              <w:ind w:right="90"/>
              <w:rPr>
                <w:sz w:val="22"/>
                <w:szCs w:val="22"/>
                <w:lang w:val="ro-RO" w:eastAsia="ru-RU"/>
                <w14:ligatures w14:val="standardContextual"/>
              </w:rPr>
            </w:pPr>
            <w:r w:rsidRPr="000F57AA">
              <w:rPr>
                <w:sz w:val="22"/>
                <w:szCs w:val="22"/>
                <w:lang w:val="ro-RO"/>
              </w:rPr>
              <w:t>{0320;0020}</w:t>
            </w:r>
          </w:p>
        </w:tc>
        <w:tc>
          <w:tcPr>
            <w:tcW w:w="7513" w:type="dxa"/>
          </w:tcPr>
          <w:p w14:paraId="209E6B57" w14:textId="4A0690ED" w:rsidR="00EB461B" w:rsidRPr="000F57AA" w:rsidRDefault="00EB461B" w:rsidP="00C074D8">
            <w:pPr>
              <w:ind w:right="90" w:firstLine="456"/>
              <w:rPr>
                <w:b/>
                <w:bCs/>
                <w:sz w:val="22"/>
                <w:szCs w:val="22"/>
                <w:lang w:val="ro-RO" w:eastAsia="ru-RU"/>
                <w14:ligatures w14:val="standardContextual"/>
              </w:rPr>
            </w:pPr>
            <w:r w:rsidRPr="000F57AA">
              <w:rPr>
                <w:b/>
                <w:bCs/>
                <w:sz w:val="22"/>
                <w:szCs w:val="22"/>
                <w:lang w:val="ro-RO"/>
              </w:rPr>
              <w:t xml:space="preserve">Din care: În cadrul schemei oficiale de asigurare a creditelor de export – Valoarea expunerii pentru calcularea indicatorului efectului de levier – Expuneri în cadrul abordării bazate pe modele interne de rating </w:t>
            </w:r>
          </w:p>
        </w:tc>
        <w:tc>
          <w:tcPr>
            <w:tcW w:w="992" w:type="dxa"/>
          </w:tcPr>
          <w:p w14:paraId="0E1CA9B3" w14:textId="26F40B7F" w:rsidR="00EB461B" w:rsidRPr="000F57AA" w:rsidRDefault="00EB461B" w:rsidP="00EB461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463AEB" w:rsidRPr="00A05A6A" w14:paraId="701BE475" w14:textId="77777777" w:rsidTr="001042CC">
        <w:trPr>
          <w:trHeight w:val="161"/>
        </w:trPr>
        <w:tc>
          <w:tcPr>
            <w:tcW w:w="1129" w:type="dxa"/>
          </w:tcPr>
          <w:p w14:paraId="75A49FCA" w14:textId="1CB3E219" w:rsidR="00463AEB" w:rsidRPr="000F57AA" w:rsidRDefault="00463AEB" w:rsidP="00EB461B">
            <w:pPr>
              <w:ind w:right="90"/>
              <w:rPr>
                <w:sz w:val="22"/>
                <w:szCs w:val="22"/>
                <w:lang w:val="ro-RO" w:eastAsia="ru-RU"/>
                <w14:ligatures w14:val="standardContextual"/>
              </w:rPr>
            </w:pPr>
            <w:r w:rsidRPr="000F57AA">
              <w:rPr>
                <w:sz w:val="22"/>
                <w:szCs w:val="22"/>
                <w:lang w:val="ro-RO"/>
              </w:rPr>
              <w:t>{0320;0030}</w:t>
            </w:r>
          </w:p>
        </w:tc>
        <w:tc>
          <w:tcPr>
            <w:tcW w:w="8505" w:type="dxa"/>
            <w:gridSpan w:val="2"/>
          </w:tcPr>
          <w:p w14:paraId="38DD0FEE" w14:textId="357970C4" w:rsidR="00463AEB" w:rsidRPr="000F57AA" w:rsidRDefault="00463AEB" w:rsidP="002A6895">
            <w:pPr>
              <w:ind w:right="90" w:firstLine="456"/>
              <w:rPr>
                <w:sz w:val="22"/>
                <w:szCs w:val="22"/>
                <w:lang w:val="ro-RO" w:eastAsia="ru-RU"/>
                <w14:ligatures w14:val="standardContextual"/>
              </w:rPr>
            </w:pPr>
            <w:r w:rsidRPr="000F57AA">
              <w:rPr>
                <w:b/>
                <w:bCs/>
                <w:sz w:val="22"/>
                <w:szCs w:val="22"/>
                <w:lang w:val="ro-RO"/>
              </w:rPr>
              <w:t xml:space="preserve">Din care: În cadrul schemei oficiale de asigurare a creditelor de export – Cuantumul ponderat la risc al expunerilor – Expuneri în cadrul abordării standardizate </w:t>
            </w:r>
          </w:p>
          <w:p w14:paraId="447D1846" w14:textId="1F6BA398" w:rsidR="00463AEB" w:rsidRPr="000F57AA" w:rsidRDefault="00463AEB" w:rsidP="002A6895">
            <w:pPr>
              <w:ind w:right="90" w:firstLine="456"/>
              <w:rPr>
                <w:sz w:val="22"/>
                <w:szCs w:val="22"/>
                <w:lang w:val="ro-RO"/>
              </w:rPr>
            </w:pPr>
            <w:r w:rsidRPr="000F57AA">
              <w:rPr>
                <w:sz w:val="22"/>
                <w:szCs w:val="22"/>
                <w:lang w:val="ro-RO" w:eastAsia="ru-RU"/>
                <w14:ligatures w14:val="standardContextual"/>
              </w:rPr>
              <w:t xml:space="preserve"> </w:t>
            </w:r>
            <w:r w:rsidRPr="000F57AA">
              <w:rPr>
                <w:sz w:val="22"/>
                <w:szCs w:val="22"/>
                <w:lang w:val="ro-RO"/>
              </w:rPr>
              <w:t xml:space="preserve">Valoarea ponderată la risc a expunerii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w:t>
            </w:r>
            <w:r w:rsidRPr="000F57AA">
              <w:rPr>
                <w:sz w:val="22"/>
                <w:szCs w:val="22"/>
                <w:lang w:val="ro-RO"/>
              </w:rPr>
              <w:lastRenderedPageBreak/>
              <w:t xml:space="preserve">durata creditului), finanţare a ajutoarelor (credite și granturi), asigurare a creditelor de export și garanţii. </w:t>
            </w:r>
          </w:p>
          <w:p w14:paraId="479311BA" w14:textId="0E8E93C3" w:rsidR="00463AEB" w:rsidRPr="000F57AA" w:rsidRDefault="00463AEB" w:rsidP="002A6895">
            <w:pPr>
              <w:ind w:right="90" w:firstLine="456"/>
              <w:rPr>
                <w:b/>
                <w:bCs/>
                <w:sz w:val="22"/>
                <w:szCs w:val="22"/>
                <w:lang w:val="ro-RO" w:eastAsia="ru-RU"/>
                <w14:ligatures w14:val="standardContextual"/>
              </w:rPr>
            </w:pPr>
            <w:r w:rsidRPr="000F57AA">
              <w:rPr>
                <w:sz w:val="22"/>
                <w:szCs w:val="22"/>
                <w:lang w:val="ro-RO"/>
              </w:rPr>
              <w:t>Băncile raportează valoarea obţinută după scăderea expunerilor aflate în stare de nerambursare în cadrul abordării standardizate.</w:t>
            </w:r>
          </w:p>
        </w:tc>
      </w:tr>
      <w:tr w:rsidR="00EB461B" w:rsidRPr="000F57AA" w14:paraId="261D9165" w14:textId="77777777" w:rsidTr="0077559D">
        <w:trPr>
          <w:trHeight w:val="161"/>
        </w:trPr>
        <w:tc>
          <w:tcPr>
            <w:tcW w:w="1129" w:type="dxa"/>
          </w:tcPr>
          <w:p w14:paraId="652F6CBE" w14:textId="05577435" w:rsidR="00EB461B" w:rsidRPr="000F57AA" w:rsidRDefault="00EB461B" w:rsidP="00EB461B">
            <w:pPr>
              <w:ind w:right="90"/>
              <w:rPr>
                <w:sz w:val="22"/>
                <w:szCs w:val="22"/>
                <w:lang w:val="ro-RO" w:eastAsia="ru-RU"/>
                <w14:ligatures w14:val="standardContextual"/>
              </w:rPr>
            </w:pPr>
            <w:r w:rsidRPr="000F57AA">
              <w:rPr>
                <w:sz w:val="22"/>
                <w:szCs w:val="22"/>
                <w:lang w:val="ro-RO"/>
              </w:rPr>
              <w:lastRenderedPageBreak/>
              <w:t>{0320;0040}</w:t>
            </w:r>
          </w:p>
        </w:tc>
        <w:tc>
          <w:tcPr>
            <w:tcW w:w="7513" w:type="dxa"/>
          </w:tcPr>
          <w:p w14:paraId="57CF3F1F" w14:textId="64C1882A" w:rsidR="00EB461B" w:rsidRPr="000F57AA" w:rsidRDefault="00EB461B" w:rsidP="00C074D8">
            <w:pPr>
              <w:ind w:right="90" w:firstLine="456"/>
              <w:rPr>
                <w:b/>
                <w:bCs/>
                <w:sz w:val="22"/>
                <w:szCs w:val="22"/>
                <w:lang w:val="ro-RO" w:eastAsia="ru-RU"/>
                <w14:ligatures w14:val="standardContextual"/>
              </w:rPr>
            </w:pPr>
            <w:r w:rsidRPr="000F57AA">
              <w:rPr>
                <w:b/>
                <w:bCs/>
                <w:sz w:val="22"/>
                <w:szCs w:val="22"/>
                <w:lang w:val="ro-RO"/>
              </w:rPr>
              <w:t>Din care: În cadrul schemei oficiale de asigurare a creditelor de export – Cuantumul ponderat la risc al expunerilor – Expuneri în cadrul abordării bazate pe modele interne de rating</w:t>
            </w:r>
          </w:p>
        </w:tc>
        <w:tc>
          <w:tcPr>
            <w:tcW w:w="992" w:type="dxa"/>
          </w:tcPr>
          <w:p w14:paraId="676B9AC6" w14:textId="7CD69499" w:rsidR="00EB461B" w:rsidRPr="000F57AA" w:rsidRDefault="00EB461B" w:rsidP="00EB461B">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bl>
    <w:p w14:paraId="4F86BE72" w14:textId="77777777" w:rsidR="00EF02C5" w:rsidRPr="000F57AA" w:rsidRDefault="00EF02C5" w:rsidP="00EF02C5">
      <w:pPr>
        <w:spacing w:after="0"/>
        <w:ind w:firstLine="708"/>
        <w:rPr>
          <w:rFonts w:ascii="Times New Roman" w:eastAsia="Times New Roman" w:hAnsi="Times New Roman" w:cs="Times New Roman"/>
          <w:lang w:val="ro-RO"/>
        </w:rPr>
      </w:pPr>
    </w:p>
    <w:p w14:paraId="6FB4AD0A" w14:textId="1386772B" w:rsidR="00C074D8" w:rsidRPr="000F57AA" w:rsidRDefault="00C074D8" w:rsidP="00C074D8">
      <w:pPr>
        <w:spacing w:after="0"/>
        <w:ind w:firstLine="708"/>
        <w:rPr>
          <w:rFonts w:ascii="Times New Roman" w:eastAsia="Times New Roman" w:hAnsi="Times New Roman" w:cs="Times New Roman"/>
          <w:i/>
          <w:iCs/>
          <w:lang w:val="ro-RO"/>
        </w:rPr>
      </w:pPr>
      <w:r w:rsidRPr="000F57AA">
        <w:rPr>
          <w:rFonts w:ascii="Times New Roman" w:eastAsia="Times New Roman" w:hAnsi="Times New Roman" w:cs="Times New Roman"/>
          <w:b/>
          <w:bCs/>
          <w:i/>
          <w:iCs/>
          <w:lang w:val="ro-RO"/>
        </w:rPr>
        <w:t xml:space="preserve">Secțiunea 6. C 44.00 – </w:t>
      </w:r>
      <w:bookmarkStart w:id="11" w:name="_Hlk192662785"/>
      <w:r w:rsidRPr="000F57AA">
        <w:rPr>
          <w:rFonts w:ascii="Times New Roman" w:eastAsia="Times New Roman" w:hAnsi="Times New Roman" w:cs="Times New Roman"/>
          <w:b/>
          <w:bCs/>
          <w:i/>
          <w:iCs/>
          <w:lang w:val="ro-RO"/>
        </w:rPr>
        <w:t xml:space="preserve">Informaţii generale (LR5) </w:t>
      </w:r>
    </w:p>
    <w:bookmarkEnd w:id="11"/>
    <w:p w14:paraId="4B38D964" w14:textId="6E4AF511" w:rsidR="00C074D8" w:rsidRPr="000F57AA" w:rsidRDefault="00C074D8" w:rsidP="00C074D8">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36. În acest formular se colectează date suplimentare pentru clasificarea activităţilor băncii și a normelor pentru care a optat aceasta.</w:t>
      </w:r>
    </w:p>
    <w:p w14:paraId="053C7416"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 44.00 - INFORMAȚII GENERALE (LR5)</w:t>
      </w:r>
    </w:p>
    <w:tbl>
      <w:tblPr>
        <w:tblW w:w="9631"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655"/>
        <w:gridCol w:w="1275"/>
      </w:tblGrid>
      <w:tr w:rsidR="00C074D8" w:rsidRPr="000F57AA" w14:paraId="11C5AC5B" w14:textId="77777777" w:rsidTr="0077559D">
        <w:trPr>
          <w:tblCellSpacing w:w="0" w:type="dxa"/>
        </w:trPr>
        <w:tc>
          <w:tcPr>
            <w:tcW w:w="701"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7B3E118F"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Rând</w:t>
            </w:r>
          </w:p>
        </w:tc>
        <w:tc>
          <w:tcPr>
            <w:tcW w:w="7655"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1734832D"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 </w:t>
            </w:r>
          </w:p>
        </w:tc>
        <w:tc>
          <w:tcPr>
            <w:tcW w:w="127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499224C"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Coloană</w:t>
            </w:r>
          </w:p>
        </w:tc>
      </w:tr>
      <w:tr w:rsidR="00C074D8" w:rsidRPr="000F57AA" w14:paraId="4BBEF089" w14:textId="77777777" w:rsidTr="0077559D">
        <w:trPr>
          <w:tblCellSpacing w:w="0" w:type="dxa"/>
        </w:trPr>
        <w:tc>
          <w:tcPr>
            <w:tcW w:w="701"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6771E45D" w14:textId="77777777" w:rsidR="00C074D8" w:rsidRPr="000F57AA" w:rsidRDefault="00C074D8" w:rsidP="00C074D8">
            <w:pPr>
              <w:spacing w:after="0" w:line="240" w:lineRule="auto"/>
              <w:rPr>
                <w:rFonts w:ascii="Times New Roman" w:eastAsia="Times New Roman" w:hAnsi="Times New Roman" w:cs="Times New Roman"/>
                <w:b/>
                <w:bCs/>
                <w:color w:val="000000"/>
                <w:lang w:val="ro-RO" w:eastAsia="ro-MD"/>
              </w:rPr>
            </w:pPr>
          </w:p>
        </w:tc>
        <w:tc>
          <w:tcPr>
            <w:tcW w:w="7655"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752C4AA" w14:textId="77777777" w:rsidR="00C074D8" w:rsidRPr="000F57AA" w:rsidRDefault="00C074D8" w:rsidP="00C074D8">
            <w:pPr>
              <w:spacing w:after="0" w:line="240" w:lineRule="auto"/>
              <w:rPr>
                <w:rFonts w:ascii="Times New Roman" w:eastAsia="Times New Roman" w:hAnsi="Times New Roman" w:cs="Times New Roman"/>
                <w:b/>
                <w:bCs/>
                <w:color w:val="000000"/>
                <w:lang w:val="ro-RO" w:eastAsia="ro-MD"/>
              </w:rPr>
            </w:pPr>
          </w:p>
        </w:tc>
        <w:tc>
          <w:tcPr>
            <w:tcW w:w="1275"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D4F716B"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0010</w:t>
            </w:r>
          </w:p>
        </w:tc>
      </w:tr>
      <w:tr w:rsidR="00C074D8" w:rsidRPr="000F57AA" w14:paraId="74517D57"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71E895D"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0010</w:t>
            </w:r>
          </w:p>
        </w:tc>
        <w:tc>
          <w:tcPr>
            <w:tcW w:w="7655" w:type="dxa"/>
            <w:tcBorders>
              <w:top w:val="outset" w:sz="6" w:space="0" w:color="auto"/>
              <w:left w:val="outset" w:sz="6" w:space="0" w:color="auto"/>
              <w:bottom w:val="outset" w:sz="6" w:space="0" w:color="auto"/>
              <w:right w:val="outset" w:sz="6" w:space="0" w:color="auto"/>
            </w:tcBorders>
            <w:hideMark/>
          </w:tcPr>
          <w:p w14:paraId="6988AD91" w14:textId="7244AA59"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Structura juridică a </w:t>
            </w:r>
            <w:r w:rsidR="001B57B6" w:rsidRPr="000F57AA">
              <w:rPr>
                <w:rFonts w:ascii="Times New Roman" w:eastAsia="Times New Roman" w:hAnsi="Times New Roman" w:cs="Times New Roman"/>
                <w:color w:val="000000"/>
                <w:lang w:val="ro-RO" w:eastAsia="ro-MD"/>
              </w:rPr>
              <w:t>băncii</w:t>
            </w:r>
          </w:p>
        </w:tc>
        <w:tc>
          <w:tcPr>
            <w:tcW w:w="1275" w:type="dxa"/>
            <w:tcBorders>
              <w:top w:val="outset" w:sz="6" w:space="0" w:color="auto"/>
              <w:left w:val="outset" w:sz="6" w:space="0" w:color="auto"/>
              <w:bottom w:val="outset" w:sz="6" w:space="0" w:color="auto"/>
              <w:right w:val="outset" w:sz="6" w:space="0" w:color="auto"/>
            </w:tcBorders>
            <w:hideMark/>
          </w:tcPr>
          <w:p w14:paraId="3B778C63"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C074D8" w:rsidRPr="000F57AA" w14:paraId="05EE3F6D"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5426877"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0020</w:t>
            </w:r>
          </w:p>
        </w:tc>
        <w:tc>
          <w:tcPr>
            <w:tcW w:w="7655" w:type="dxa"/>
            <w:tcBorders>
              <w:top w:val="outset" w:sz="6" w:space="0" w:color="auto"/>
              <w:left w:val="outset" w:sz="6" w:space="0" w:color="auto"/>
              <w:bottom w:val="outset" w:sz="6" w:space="0" w:color="auto"/>
              <w:right w:val="outset" w:sz="6" w:space="0" w:color="auto"/>
            </w:tcBorders>
            <w:hideMark/>
          </w:tcPr>
          <w:p w14:paraId="0FAE92CC"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Tratamentul instrumentelor financiare derivate</w:t>
            </w:r>
          </w:p>
        </w:tc>
        <w:tc>
          <w:tcPr>
            <w:tcW w:w="1275" w:type="dxa"/>
            <w:tcBorders>
              <w:top w:val="outset" w:sz="6" w:space="0" w:color="auto"/>
              <w:left w:val="outset" w:sz="6" w:space="0" w:color="auto"/>
              <w:bottom w:val="outset" w:sz="6" w:space="0" w:color="auto"/>
              <w:right w:val="outset" w:sz="6" w:space="0" w:color="auto"/>
            </w:tcBorders>
            <w:hideMark/>
          </w:tcPr>
          <w:p w14:paraId="37424F70"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C074D8" w:rsidRPr="000F57AA" w14:paraId="5559450F"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003F3DE"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0040</w:t>
            </w:r>
          </w:p>
        </w:tc>
        <w:tc>
          <w:tcPr>
            <w:tcW w:w="7655" w:type="dxa"/>
            <w:tcBorders>
              <w:top w:val="outset" w:sz="6" w:space="0" w:color="auto"/>
              <w:left w:val="outset" w:sz="6" w:space="0" w:color="auto"/>
              <w:bottom w:val="outset" w:sz="6" w:space="0" w:color="auto"/>
              <w:right w:val="outset" w:sz="6" w:space="0" w:color="auto"/>
            </w:tcBorders>
            <w:hideMark/>
          </w:tcPr>
          <w:p w14:paraId="52AF5920" w14:textId="4F480401"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Tipul </w:t>
            </w:r>
            <w:r w:rsidR="001B57B6" w:rsidRPr="000F57AA">
              <w:rPr>
                <w:rFonts w:ascii="Times New Roman" w:eastAsia="Times New Roman" w:hAnsi="Times New Roman" w:cs="Times New Roman"/>
                <w:color w:val="000000"/>
                <w:lang w:val="ro-RO" w:eastAsia="ro-MD"/>
              </w:rPr>
              <w:t>băncii</w:t>
            </w:r>
          </w:p>
        </w:tc>
        <w:tc>
          <w:tcPr>
            <w:tcW w:w="1275" w:type="dxa"/>
            <w:tcBorders>
              <w:top w:val="outset" w:sz="6" w:space="0" w:color="auto"/>
              <w:left w:val="outset" w:sz="6" w:space="0" w:color="auto"/>
              <w:bottom w:val="outset" w:sz="6" w:space="0" w:color="auto"/>
              <w:right w:val="outset" w:sz="6" w:space="0" w:color="auto"/>
            </w:tcBorders>
            <w:hideMark/>
          </w:tcPr>
          <w:p w14:paraId="2BFAF36C"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r w:rsidR="00C074D8" w:rsidRPr="000F57AA" w14:paraId="42FAA7F8"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CBB2D95"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0070</w:t>
            </w:r>
          </w:p>
        </w:tc>
        <w:tc>
          <w:tcPr>
            <w:tcW w:w="7655" w:type="dxa"/>
            <w:tcBorders>
              <w:top w:val="outset" w:sz="6" w:space="0" w:color="auto"/>
              <w:left w:val="outset" w:sz="6" w:space="0" w:color="auto"/>
              <w:bottom w:val="outset" w:sz="6" w:space="0" w:color="auto"/>
              <w:right w:val="outset" w:sz="6" w:space="0" w:color="auto"/>
            </w:tcBorders>
            <w:hideMark/>
          </w:tcPr>
          <w:p w14:paraId="13D0A4DE" w14:textId="0EE37EAD" w:rsidR="00C074D8" w:rsidRPr="000F57AA" w:rsidRDefault="007A747A"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Bancă </w:t>
            </w:r>
            <w:r w:rsidR="00C074D8" w:rsidRPr="000F57AA">
              <w:rPr>
                <w:rFonts w:ascii="Times New Roman" w:eastAsia="Times New Roman" w:hAnsi="Times New Roman" w:cs="Times New Roman"/>
                <w:color w:val="000000"/>
                <w:lang w:val="ro-RO" w:eastAsia="ro-MD"/>
              </w:rPr>
              <w:t>cu o unitate pentru dezvoltare publică</w:t>
            </w:r>
          </w:p>
        </w:tc>
        <w:tc>
          <w:tcPr>
            <w:tcW w:w="1275" w:type="dxa"/>
            <w:tcBorders>
              <w:top w:val="outset" w:sz="6" w:space="0" w:color="auto"/>
              <w:left w:val="outset" w:sz="6" w:space="0" w:color="auto"/>
              <w:bottom w:val="outset" w:sz="6" w:space="0" w:color="auto"/>
              <w:right w:val="outset" w:sz="6" w:space="0" w:color="auto"/>
            </w:tcBorders>
            <w:hideMark/>
          </w:tcPr>
          <w:p w14:paraId="4651962A"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1D093418"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50A9F5A"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0080</w:t>
            </w:r>
          </w:p>
        </w:tc>
        <w:tc>
          <w:tcPr>
            <w:tcW w:w="7655" w:type="dxa"/>
            <w:tcBorders>
              <w:top w:val="outset" w:sz="6" w:space="0" w:color="auto"/>
              <w:left w:val="outset" w:sz="6" w:space="0" w:color="auto"/>
              <w:bottom w:val="outset" w:sz="6" w:space="0" w:color="auto"/>
              <w:right w:val="outset" w:sz="6" w:space="0" w:color="auto"/>
            </w:tcBorders>
            <w:hideMark/>
          </w:tcPr>
          <w:p w14:paraId="238FF366" w14:textId="450A6FAB"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Administrație centrală care garantează </w:t>
            </w:r>
            <w:r w:rsidR="00334D98" w:rsidRPr="000F57AA">
              <w:rPr>
                <w:rFonts w:ascii="Times New Roman" w:eastAsia="Times New Roman" w:hAnsi="Times New Roman" w:cs="Times New Roman"/>
                <w:color w:val="000000"/>
                <w:lang w:val="ro-RO" w:eastAsia="ro-MD"/>
              </w:rPr>
              <w:t>banca</w:t>
            </w:r>
            <w:r w:rsidRPr="000F57AA">
              <w:rPr>
                <w:rFonts w:ascii="Times New Roman" w:eastAsia="Times New Roman" w:hAnsi="Times New Roman" w:cs="Times New Roman"/>
                <w:color w:val="000000"/>
                <w:lang w:val="ro-RO" w:eastAsia="ro-MD"/>
              </w:rPr>
              <w:t>/unitatea pentru dezvoltare publică</w:t>
            </w:r>
          </w:p>
        </w:tc>
        <w:tc>
          <w:tcPr>
            <w:tcW w:w="1275" w:type="dxa"/>
            <w:tcBorders>
              <w:top w:val="outset" w:sz="6" w:space="0" w:color="auto"/>
              <w:left w:val="outset" w:sz="6" w:space="0" w:color="auto"/>
              <w:bottom w:val="outset" w:sz="6" w:space="0" w:color="auto"/>
              <w:right w:val="outset" w:sz="6" w:space="0" w:color="auto"/>
            </w:tcBorders>
            <w:hideMark/>
          </w:tcPr>
          <w:p w14:paraId="64795044"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718FC801"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5204C12"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0090</w:t>
            </w:r>
          </w:p>
        </w:tc>
        <w:tc>
          <w:tcPr>
            <w:tcW w:w="7655" w:type="dxa"/>
            <w:tcBorders>
              <w:top w:val="outset" w:sz="6" w:space="0" w:color="auto"/>
              <w:left w:val="outset" w:sz="6" w:space="0" w:color="auto"/>
              <w:bottom w:val="outset" w:sz="6" w:space="0" w:color="auto"/>
              <w:right w:val="outset" w:sz="6" w:space="0" w:color="auto"/>
            </w:tcBorders>
            <w:hideMark/>
          </w:tcPr>
          <w:p w14:paraId="43130FBA" w14:textId="0303D836"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Administrație regională care garantează </w:t>
            </w:r>
            <w:r w:rsidR="00334D98" w:rsidRPr="000F57AA">
              <w:rPr>
                <w:rFonts w:ascii="Times New Roman" w:eastAsia="Times New Roman" w:hAnsi="Times New Roman" w:cs="Times New Roman"/>
                <w:color w:val="000000"/>
                <w:lang w:val="ro-RO" w:eastAsia="ro-MD"/>
              </w:rPr>
              <w:t>banca</w:t>
            </w:r>
            <w:r w:rsidRPr="000F57AA">
              <w:rPr>
                <w:rFonts w:ascii="Times New Roman" w:eastAsia="Times New Roman" w:hAnsi="Times New Roman" w:cs="Times New Roman"/>
                <w:color w:val="000000"/>
                <w:lang w:val="ro-RO" w:eastAsia="ro-MD"/>
              </w:rPr>
              <w:t>/unitatea pentru dezvoltare publică</w:t>
            </w:r>
          </w:p>
        </w:tc>
        <w:tc>
          <w:tcPr>
            <w:tcW w:w="1275" w:type="dxa"/>
            <w:tcBorders>
              <w:top w:val="outset" w:sz="6" w:space="0" w:color="auto"/>
              <w:left w:val="outset" w:sz="6" w:space="0" w:color="auto"/>
              <w:bottom w:val="outset" w:sz="6" w:space="0" w:color="auto"/>
              <w:right w:val="outset" w:sz="6" w:space="0" w:color="auto"/>
            </w:tcBorders>
            <w:hideMark/>
          </w:tcPr>
          <w:p w14:paraId="4D4F2D75"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508140CB"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3F8BAC9"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0100</w:t>
            </w:r>
          </w:p>
        </w:tc>
        <w:tc>
          <w:tcPr>
            <w:tcW w:w="7655" w:type="dxa"/>
            <w:tcBorders>
              <w:top w:val="outset" w:sz="6" w:space="0" w:color="auto"/>
              <w:left w:val="outset" w:sz="6" w:space="0" w:color="auto"/>
              <w:bottom w:val="outset" w:sz="6" w:space="0" w:color="auto"/>
              <w:right w:val="outset" w:sz="6" w:space="0" w:color="auto"/>
            </w:tcBorders>
            <w:hideMark/>
          </w:tcPr>
          <w:p w14:paraId="68228490" w14:textId="7F1DAFC2"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Autoritate locală care garantează </w:t>
            </w:r>
            <w:r w:rsidR="00334D98" w:rsidRPr="000F57AA">
              <w:rPr>
                <w:rFonts w:ascii="Times New Roman" w:eastAsia="Times New Roman" w:hAnsi="Times New Roman" w:cs="Times New Roman"/>
                <w:color w:val="000000"/>
                <w:lang w:val="ro-RO" w:eastAsia="ro-MD"/>
              </w:rPr>
              <w:t>banca</w:t>
            </w:r>
            <w:r w:rsidRPr="000F57AA">
              <w:rPr>
                <w:rFonts w:ascii="Times New Roman" w:eastAsia="Times New Roman" w:hAnsi="Times New Roman" w:cs="Times New Roman"/>
                <w:color w:val="000000"/>
                <w:lang w:val="ro-RO" w:eastAsia="ro-MD"/>
              </w:rPr>
              <w:t>/unitatea pentru dezvoltare publică</w:t>
            </w:r>
          </w:p>
        </w:tc>
        <w:tc>
          <w:tcPr>
            <w:tcW w:w="1275" w:type="dxa"/>
            <w:tcBorders>
              <w:top w:val="outset" w:sz="6" w:space="0" w:color="auto"/>
              <w:left w:val="outset" w:sz="6" w:space="0" w:color="auto"/>
              <w:bottom w:val="outset" w:sz="6" w:space="0" w:color="auto"/>
              <w:right w:val="outset" w:sz="6" w:space="0" w:color="auto"/>
            </w:tcBorders>
            <w:hideMark/>
          </w:tcPr>
          <w:p w14:paraId="0F447676"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79824AC1"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99F80DE"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0110</w:t>
            </w:r>
          </w:p>
        </w:tc>
        <w:tc>
          <w:tcPr>
            <w:tcW w:w="7655" w:type="dxa"/>
            <w:tcBorders>
              <w:top w:val="outset" w:sz="6" w:space="0" w:color="auto"/>
              <w:left w:val="outset" w:sz="6" w:space="0" w:color="auto"/>
              <w:bottom w:val="outset" w:sz="6" w:space="0" w:color="auto"/>
              <w:right w:val="outset" w:sz="6" w:space="0" w:color="auto"/>
            </w:tcBorders>
            <w:hideMark/>
          </w:tcPr>
          <w:p w14:paraId="471F8550" w14:textId="63DE4024"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Tipul de garanție primită– Obligația de a proteja viabilitatea </w:t>
            </w:r>
            <w:r w:rsidR="00334D98" w:rsidRPr="000F57AA">
              <w:rPr>
                <w:rFonts w:ascii="Times New Roman" w:eastAsia="Times New Roman" w:hAnsi="Times New Roman" w:cs="Times New Roman"/>
                <w:color w:val="000000"/>
                <w:lang w:val="ro-RO" w:eastAsia="ro-MD"/>
              </w:rPr>
              <w:t>băncii</w:t>
            </w:r>
          </w:p>
        </w:tc>
        <w:tc>
          <w:tcPr>
            <w:tcW w:w="1275" w:type="dxa"/>
            <w:tcBorders>
              <w:top w:val="outset" w:sz="6" w:space="0" w:color="auto"/>
              <w:left w:val="outset" w:sz="6" w:space="0" w:color="auto"/>
              <w:bottom w:val="outset" w:sz="6" w:space="0" w:color="auto"/>
              <w:right w:val="outset" w:sz="6" w:space="0" w:color="auto"/>
            </w:tcBorders>
            <w:hideMark/>
          </w:tcPr>
          <w:p w14:paraId="1F4A1E8A"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3663DEB5"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67AB7EA"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0120</w:t>
            </w:r>
          </w:p>
        </w:tc>
        <w:tc>
          <w:tcPr>
            <w:tcW w:w="7655" w:type="dxa"/>
            <w:tcBorders>
              <w:top w:val="outset" w:sz="6" w:space="0" w:color="auto"/>
              <w:left w:val="outset" w:sz="6" w:space="0" w:color="auto"/>
              <w:bottom w:val="outset" w:sz="6" w:space="0" w:color="auto"/>
              <w:right w:val="outset" w:sz="6" w:space="0" w:color="auto"/>
            </w:tcBorders>
            <w:hideMark/>
          </w:tcPr>
          <w:p w14:paraId="7CEE51C3" w14:textId="599658DF"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Tipul de garanție primită – Garantare directă a cerințelor de fonduri proprii, a cerințelor de finanțare sau a creditelor promoționale acordate ale </w:t>
            </w:r>
            <w:r w:rsidR="00334D98" w:rsidRPr="000F57AA">
              <w:rPr>
                <w:rFonts w:ascii="Times New Roman" w:eastAsia="Times New Roman" w:hAnsi="Times New Roman" w:cs="Times New Roman"/>
                <w:color w:val="000000"/>
                <w:lang w:val="ro-RO" w:eastAsia="ro-MD"/>
              </w:rPr>
              <w:t>băncilor</w:t>
            </w:r>
          </w:p>
        </w:tc>
        <w:tc>
          <w:tcPr>
            <w:tcW w:w="1275" w:type="dxa"/>
            <w:tcBorders>
              <w:top w:val="outset" w:sz="6" w:space="0" w:color="auto"/>
              <w:left w:val="outset" w:sz="6" w:space="0" w:color="auto"/>
              <w:bottom w:val="outset" w:sz="6" w:space="0" w:color="auto"/>
              <w:right w:val="outset" w:sz="6" w:space="0" w:color="auto"/>
            </w:tcBorders>
            <w:hideMark/>
          </w:tcPr>
          <w:p w14:paraId="5DC3AA29"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r w:rsidR="00C074D8" w:rsidRPr="000F57AA" w14:paraId="1B20CFC8" w14:textId="77777777" w:rsidTr="0077559D">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0638A3D"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0130</w:t>
            </w:r>
          </w:p>
        </w:tc>
        <w:tc>
          <w:tcPr>
            <w:tcW w:w="7655" w:type="dxa"/>
            <w:tcBorders>
              <w:top w:val="outset" w:sz="6" w:space="0" w:color="auto"/>
              <w:left w:val="outset" w:sz="6" w:space="0" w:color="auto"/>
              <w:bottom w:val="outset" w:sz="6" w:space="0" w:color="auto"/>
              <w:right w:val="outset" w:sz="6" w:space="0" w:color="auto"/>
            </w:tcBorders>
            <w:hideMark/>
          </w:tcPr>
          <w:p w14:paraId="75BB20BF" w14:textId="67C4891E"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ml:space="preserve">Tipul de garanție primită – Garantare indirectă a cerințelor de fonduri proprii, a cerințelor de finanțare sau a creditelor promoționale acordate ale </w:t>
            </w:r>
            <w:r w:rsidR="00334D98" w:rsidRPr="000F57AA">
              <w:rPr>
                <w:rFonts w:ascii="Times New Roman" w:eastAsia="Times New Roman" w:hAnsi="Times New Roman" w:cs="Times New Roman"/>
                <w:color w:val="000000"/>
                <w:lang w:val="ro-RO" w:eastAsia="ro-MD"/>
              </w:rPr>
              <w:t>băncilor</w:t>
            </w:r>
          </w:p>
        </w:tc>
        <w:tc>
          <w:tcPr>
            <w:tcW w:w="1275" w:type="dxa"/>
            <w:tcBorders>
              <w:top w:val="outset" w:sz="6" w:space="0" w:color="auto"/>
              <w:left w:val="outset" w:sz="6" w:space="0" w:color="auto"/>
              <w:bottom w:val="outset" w:sz="6" w:space="0" w:color="auto"/>
              <w:right w:val="outset" w:sz="6" w:space="0" w:color="auto"/>
            </w:tcBorders>
            <w:hideMark/>
          </w:tcPr>
          <w:p w14:paraId="26E43061" w14:textId="77777777" w:rsidR="00C074D8" w:rsidRPr="000F57AA" w:rsidRDefault="00C074D8" w:rsidP="00C074D8">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X</w:t>
            </w:r>
          </w:p>
        </w:tc>
      </w:tr>
    </w:tbl>
    <w:p w14:paraId="74C09444" w14:textId="77777777" w:rsidR="00C074D8" w:rsidRPr="000F57AA" w:rsidRDefault="00C074D8" w:rsidP="00C074D8">
      <w:pPr>
        <w:spacing w:after="0"/>
        <w:ind w:firstLine="708"/>
        <w:rPr>
          <w:rFonts w:ascii="Times New Roman" w:eastAsia="Times New Roman" w:hAnsi="Times New Roman" w:cs="Times New Roman"/>
          <w:lang w:val="ro-RO"/>
        </w:rPr>
      </w:pPr>
    </w:p>
    <w:p w14:paraId="0812F19F" w14:textId="77777777" w:rsidR="00C074D8" w:rsidRPr="000F57AA" w:rsidRDefault="00C074D8" w:rsidP="00C074D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Modul de completare a raportului</w:t>
      </w:r>
    </w:p>
    <w:p w14:paraId="044BF946" w14:textId="6B38A63B" w:rsidR="00C074D8" w:rsidRPr="000F57AA" w:rsidRDefault="00C074D8" w:rsidP="00C074D8">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 44.00 – Informaţii generale (LR5)</w:t>
      </w:r>
    </w:p>
    <w:tbl>
      <w:tblPr>
        <w:tblStyle w:val="TableGrid1"/>
        <w:tblW w:w="9634" w:type="dxa"/>
        <w:tblLayout w:type="fixed"/>
        <w:tblLook w:val="04A0" w:firstRow="1" w:lastRow="0" w:firstColumn="1" w:lastColumn="0" w:noHBand="0" w:noVBand="1"/>
      </w:tblPr>
      <w:tblGrid>
        <w:gridCol w:w="1129"/>
        <w:gridCol w:w="7513"/>
        <w:gridCol w:w="992"/>
      </w:tblGrid>
      <w:tr w:rsidR="00C074D8" w:rsidRPr="000F57AA" w14:paraId="24D5AD87" w14:textId="77777777" w:rsidTr="00D13365">
        <w:trPr>
          <w:trHeight w:val="107"/>
        </w:trPr>
        <w:tc>
          <w:tcPr>
            <w:tcW w:w="1129" w:type="dxa"/>
            <w:shd w:val="clear" w:color="auto" w:fill="E7E6E6" w:themeFill="background2"/>
          </w:tcPr>
          <w:p w14:paraId="0E0AD154" w14:textId="77777777" w:rsidR="00C074D8" w:rsidRPr="000F57AA" w:rsidRDefault="00C074D8" w:rsidP="00E34096">
            <w:pPr>
              <w:ind w:right="90"/>
              <w:rPr>
                <w:sz w:val="22"/>
                <w:szCs w:val="22"/>
                <w:lang w:val="ro-RO" w:eastAsia="ru-RU"/>
                <w14:ligatures w14:val="standardContextual"/>
              </w:rPr>
            </w:pPr>
            <w:bookmarkStart w:id="12" w:name="_Hlk192666214"/>
            <w:r w:rsidRPr="000F57AA">
              <w:rPr>
                <w:sz w:val="22"/>
                <w:szCs w:val="22"/>
                <w:lang w:val="ro-RO" w:eastAsia="ru-RU"/>
                <w14:ligatures w14:val="standardContextual"/>
              </w:rPr>
              <w:t>Rând și coloană</w:t>
            </w:r>
          </w:p>
        </w:tc>
        <w:tc>
          <w:tcPr>
            <w:tcW w:w="8505" w:type="dxa"/>
            <w:gridSpan w:val="2"/>
            <w:shd w:val="clear" w:color="auto" w:fill="E7E6E6" w:themeFill="background2"/>
          </w:tcPr>
          <w:p w14:paraId="500D2F20" w14:textId="4EF46965" w:rsidR="00C074D8" w:rsidRPr="000F57AA" w:rsidRDefault="00C074D8" w:rsidP="00E34096">
            <w:pPr>
              <w:ind w:right="90"/>
              <w:rPr>
                <w:sz w:val="22"/>
                <w:szCs w:val="22"/>
                <w:lang w:val="ro-RO" w:eastAsia="ru-RU"/>
                <w14:ligatures w14:val="standardContextual"/>
              </w:rPr>
            </w:pPr>
            <w:r w:rsidRPr="000F57AA">
              <w:rPr>
                <w:sz w:val="22"/>
                <w:szCs w:val="22"/>
                <w:lang w:val="ro-RO" w:eastAsia="ru-RU"/>
                <w14:ligatures w14:val="standardContextual"/>
              </w:rPr>
              <w:t>Instrucţiuni</w:t>
            </w:r>
          </w:p>
        </w:tc>
      </w:tr>
      <w:tr w:rsidR="00C074D8" w:rsidRPr="00A05A6A" w14:paraId="5AACF4FA" w14:textId="77777777" w:rsidTr="00D13365">
        <w:trPr>
          <w:trHeight w:val="161"/>
        </w:trPr>
        <w:tc>
          <w:tcPr>
            <w:tcW w:w="1129" w:type="dxa"/>
          </w:tcPr>
          <w:p w14:paraId="346ED1C9" w14:textId="77777777" w:rsidR="00C074D8" w:rsidRPr="000F57AA" w:rsidRDefault="00C074D8" w:rsidP="00E34096">
            <w:pPr>
              <w:ind w:right="90"/>
              <w:rPr>
                <w:sz w:val="22"/>
                <w:szCs w:val="22"/>
                <w:lang w:val="ro-RO" w:eastAsia="ru-RU"/>
                <w14:ligatures w14:val="standardContextual"/>
              </w:rPr>
            </w:pPr>
            <w:r w:rsidRPr="000F57AA">
              <w:rPr>
                <w:sz w:val="22"/>
                <w:szCs w:val="22"/>
                <w:lang w:val="ro-RO" w:eastAsia="ru-RU"/>
                <w14:ligatures w14:val="standardContextual"/>
              </w:rPr>
              <w:t>{0010;0010}</w:t>
            </w:r>
          </w:p>
        </w:tc>
        <w:tc>
          <w:tcPr>
            <w:tcW w:w="8505" w:type="dxa"/>
            <w:gridSpan w:val="2"/>
          </w:tcPr>
          <w:p w14:paraId="429FB68C" w14:textId="083B8DB9" w:rsidR="00377F2F" w:rsidRPr="000F57AA" w:rsidRDefault="00377F2F" w:rsidP="00377F2F">
            <w:pPr>
              <w:ind w:right="90" w:firstLine="456"/>
              <w:rPr>
                <w:b/>
                <w:bCs/>
                <w:sz w:val="22"/>
                <w:szCs w:val="22"/>
                <w:lang w:val="ro-RO" w:eastAsia="ru-RU"/>
                <w14:ligatures w14:val="standardContextual"/>
              </w:rPr>
            </w:pPr>
            <w:r w:rsidRPr="000F57AA">
              <w:rPr>
                <w:b/>
                <w:bCs/>
                <w:sz w:val="22"/>
                <w:szCs w:val="22"/>
                <w:lang w:val="ro-RO" w:eastAsia="ru-RU"/>
                <w14:ligatures w14:val="standardContextual"/>
              </w:rPr>
              <w:t xml:space="preserve">Structura juridică a băncii </w:t>
            </w:r>
          </w:p>
          <w:p w14:paraId="042AFF24" w14:textId="77777777" w:rsidR="00377F2F" w:rsidRPr="000F57AA" w:rsidRDefault="00377F2F" w:rsidP="00377F2F">
            <w:pPr>
              <w:ind w:right="90" w:firstLine="456"/>
              <w:rPr>
                <w:sz w:val="22"/>
                <w:szCs w:val="22"/>
                <w:lang w:val="ro-RO" w:eastAsia="ru-RU"/>
                <w14:ligatures w14:val="standardContextual"/>
              </w:rPr>
            </w:pPr>
            <w:r w:rsidRPr="000F57AA">
              <w:rPr>
                <w:sz w:val="22"/>
                <w:szCs w:val="22"/>
                <w:lang w:val="ro-RO" w:eastAsia="ru-RU"/>
                <w14:ligatures w14:val="standardContextual"/>
              </w:rPr>
              <w:t xml:space="preserve">Banca indică în această celulă în care dintre următoarele categorii se încadrează din punctul de vedere al structurii sale juridice: </w:t>
            </w:r>
          </w:p>
          <w:p w14:paraId="008AB93C" w14:textId="77777777" w:rsidR="00377F2F" w:rsidRPr="000F57AA" w:rsidRDefault="00377F2F" w:rsidP="00377F2F">
            <w:pPr>
              <w:ind w:right="90" w:firstLine="456"/>
              <w:rPr>
                <w:sz w:val="22"/>
                <w:szCs w:val="22"/>
                <w:lang w:val="ro-RO" w:eastAsia="ru-RU"/>
                <w14:ligatures w14:val="standardContextual"/>
              </w:rPr>
            </w:pPr>
            <w:r w:rsidRPr="000F57AA">
              <w:rPr>
                <w:sz w:val="22"/>
                <w:szCs w:val="22"/>
                <w:lang w:val="ro-RO" w:eastAsia="ru-RU"/>
                <w14:ligatures w14:val="standardContextual"/>
              </w:rPr>
              <w:t xml:space="preserve">— societate pe acţiuni; </w:t>
            </w:r>
          </w:p>
          <w:p w14:paraId="64F0EC44" w14:textId="77777777" w:rsidR="00377F2F" w:rsidRPr="000F57AA" w:rsidRDefault="00377F2F" w:rsidP="00377F2F">
            <w:pPr>
              <w:ind w:right="90" w:firstLine="456"/>
              <w:rPr>
                <w:sz w:val="22"/>
                <w:szCs w:val="22"/>
                <w:lang w:val="ro-RO" w:eastAsia="ru-RU"/>
                <w14:ligatures w14:val="standardContextual"/>
              </w:rPr>
            </w:pPr>
            <w:r w:rsidRPr="000F57AA">
              <w:rPr>
                <w:sz w:val="22"/>
                <w:szCs w:val="22"/>
                <w:lang w:val="ro-RO" w:eastAsia="ru-RU"/>
                <w14:ligatures w14:val="standardContextual"/>
              </w:rPr>
              <w:t xml:space="preserve">— societate mutuală/cooperativă; </w:t>
            </w:r>
          </w:p>
          <w:p w14:paraId="43061052" w14:textId="09A4D2C3" w:rsidR="00C074D8" w:rsidRPr="000F57AA" w:rsidRDefault="00377F2F" w:rsidP="00377F2F">
            <w:pPr>
              <w:ind w:right="90" w:firstLine="456"/>
              <w:rPr>
                <w:sz w:val="22"/>
                <w:szCs w:val="22"/>
                <w:lang w:val="ro-RO" w:eastAsia="ru-RU"/>
                <w14:ligatures w14:val="standardContextual"/>
              </w:rPr>
            </w:pPr>
            <w:r w:rsidRPr="000F57AA">
              <w:rPr>
                <w:sz w:val="22"/>
                <w:szCs w:val="22"/>
                <w:lang w:val="ro-RO" w:eastAsia="ru-RU"/>
                <w14:ligatures w14:val="standardContextual"/>
              </w:rPr>
              <w:t>— altă societate, nu pe acţiuni.</w:t>
            </w:r>
          </w:p>
        </w:tc>
      </w:tr>
      <w:bookmarkEnd w:id="12"/>
      <w:tr w:rsidR="00377F2F" w:rsidRPr="000F57AA" w14:paraId="06685B74" w14:textId="77777777" w:rsidTr="00D13365">
        <w:trPr>
          <w:trHeight w:val="161"/>
        </w:trPr>
        <w:tc>
          <w:tcPr>
            <w:tcW w:w="1129" w:type="dxa"/>
          </w:tcPr>
          <w:p w14:paraId="16D68C56" w14:textId="74DD31B2" w:rsidR="00377F2F" w:rsidRPr="000F57AA" w:rsidRDefault="00377F2F" w:rsidP="00377F2F">
            <w:pPr>
              <w:ind w:right="90"/>
              <w:rPr>
                <w:sz w:val="22"/>
                <w:szCs w:val="22"/>
                <w:lang w:val="ro-RO" w:eastAsia="ru-RU"/>
                <w14:ligatures w14:val="standardContextual"/>
              </w:rPr>
            </w:pPr>
            <w:r w:rsidRPr="000F57AA">
              <w:rPr>
                <w:sz w:val="22"/>
                <w:szCs w:val="22"/>
                <w:lang w:val="ro-RO"/>
              </w:rPr>
              <w:t>{0020;0010}</w:t>
            </w:r>
          </w:p>
        </w:tc>
        <w:tc>
          <w:tcPr>
            <w:tcW w:w="8505" w:type="dxa"/>
            <w:gridSpan w:val="2"/>
          </w:tcPr>
          <w:p w14:paraId="64C87A3D" w14:textId="77777777" w:rsidR="00377F2F" w:rsidRPr="000F57AA" w:rsidRDefault="00377F2F" w:rsidP="00536A05">
            <w:pPr>
              <w:ind w:right="90" w:firstLine="456"/>
              <w:rPr>
                <w:b/>
                <w:bCs/>
                <w:sz w:val="22"/>
                <w:szCs w:val="22"/>
                <w:lang w:val="ro-RO"/>
              </w:rPr>
            </w:pPr>
            <w:r w:rsidRPr="000F57AA">
              <w:rPr>
                <w:b/>
                <w:bCs/>
                <w:sz w:val="22"/>
                <w:szCs w:val="22"/>
                <w:lang w:val="ro-RO"/>
              </w:rPr>
              <w:t xml:space="preserve">Tratamentul instrumentelor financiare derivate </w:t>
            </w:r>
          </w:p>
          <w:p w14:paraId="7A066AAC" w14:textId="77777777" w:rsidR="00377F2F" w:rsidRPr="000F57AA" w:rsidRDefault="00377F2F" w:rsidP="00536A05">
            <w:pPr>
              <w:ind w:right="90" w:firstLine="456"/>
              <w:rPr>
                <w:sz w:val="22"/>
                <w:szCs w:val="22"/>
                <w:lang w:val="ro-RO"/>
              </w:rPr>
            </w:pPr>
            <w:r w:rsidRPr="000F57AA">
              <w:rPr>
                <w:sz w:val="22"/>
                <w:szCs w:val="22"/>
                <w:lang w:val="ro-RO"/>
              </w:rPr>
              <w:t xml:space="preserve">Banca indică în această celulă conform căreia dintre următoarele categorii de norme tratează instrumentele financiare derivate: </w:t>
            </w:r>
          </w:p>
          <w:p w14:paraId="633733A1" w14:textId="77777777" w:rsidR="00377F2F" w:rsidRPr="000F57AA" w:rsidRDefault="00377F2F" w:rsidP="00536A05">
            <w:pPr>
              <w:ind w:right="90" w:firstLine="456"/>
              <w:rPr>
                <w:sz w:val="22"/>
                <w:szCs w:val="22"/>
                <w:lang w:val="ro-RO"/>
              </w:rPr>
            </w:pPr>
            <w:r w:rsidRPr="000F57AA">
              <w:rPr>
                <w:sz w:val="22"/>
                <w:szCs w:val="22"/>
                <w:lang w:val="ro-RO"/>
              </w:rPr>
              <w:t xml:space="preserve">— abordarea standardizată pentru riscul de credit al contrapărţii (SA-CCR); </w:t>
            </w:r>
          </w:p>
          <w:p w14:paraId="57C49E19" w14:textId="77777777" w:rsidR="00377F2F" w:rsidRPr="000F57AA" w:rsidRDefault="00377F2F" w:rsidP="00536A05">
            <w:pPr>
              <w:ind w:right="90" w:firstLine="456"/>
              <w:rPr>
                <w:sz w:val="22"/>
                <w:szCs w:val="22"/>
                <w:lang w:val="ro-RO"/>
              </w:rPr>
            </w:pPr>
            <w:r w:rsidRPr="000F57AA">
              <w:rPr>
                <w:sz w:val="22"/>
                <w:szCs w:val="22"/>
                <w:lang w:val="ro-RO"/>
              </w:rPr>
              <w:t xml:space="preserve">— abordarea standardizată simplificată pentru riscul de credit al contrapărţii; </w:t>
            </w:r>
          </w:p>
          <w:p w14:paraId="3FD26B3A" w14:textId="2CF21387" w:rsidR="00377F2F" w:rsidRPr="000F57AA" w:rsidRDefault="00377F2F" w:rsidP="00536A05">
            <w:pPr>
              <w:ind w:right="90" w:firstLine="456"/>
              <w:rPr>
                <w:b/>
                <w:bCs/>
                <w:sz w:val="22"/>
                <w:szCs w:val="22"/>
                <w:lang w:val="ro-RO" w:eastAsia="ru-RU"/>
                <w14:ligatures w14:val="standardContextual"/>
              </w:rPr>
            </w:pPr>
            <w:r w:rsidRPr="000F57AA">
              <w:rPr>
                <w:sz w:val="22"/>
                <w:szCs w:val="22"/>
                <w:lang w:val="ro-RO"/>
              </w:rPr>
              <w:t>— metoda expunerii iniţiale.</w:t>
            </w:r>
          </w:p>
        </w:tc>
      </w:tr>
      <w:tr w:rsidR="00377F2F" w:rsidRPr="000F57AA" w14:paraId="2B71CBC6" w14:textId="77777777" w:rsidTr="00D13365">
        <w:trPr>
          <w:trHeight w:val="161"/>
        </w:trPr>
        <w:tc>
          <w:tcPr>
            <w:tcW w:w="1129" w:type="dxa"/>
          </w:tcPr>
          <w:p w14:paraId="1272AAEF" w14:textId="13A5ADC9" w:rsidR="00377F2F" w:rsidRPr="000F57AA" w:rsidRDefault="00377F2F" w:rsidP="00377F2F">
            <w:pPr>
              <w:ind w:right="90"/>
              <w:rPr>
                <w:sz w:val="22"/>
                <w:szCs w:val="22"/>
                <w:lang w:val="ro-RO" w:eastAsia="ru-RU"/>
                <w14:ligatures w14:val="standardContextual"/>
              </w:rPr>
            </w:pPr>
            <w:r w:rsidRPr="000F57AA">
              <w:rPr>
                <w:sz w:val="22"/>
                <w:szCs w:val="22"/>
                <w:lang w:val="ro-RO"/>
              </w:rPr>
              <w:t>{0040;0010}</w:t>
            </w:r>
          </w:p>
        </w:tc>
        <w:tc>
          <w:tcPr>
            <w:tcW w:w="8505" w:type="dxa"/>
            <w:gridSpan w:val="2"/>
          </w:tcPr>
          <w:p w14:paraId="26E9EA53" w14:textId="346A82D8" w:rsidR="00377F2F" w:rsidRPr="000F57AA" w:rsidRDefault="00377F2F" w:rsidP="00536A05">
            <w:pPr>
              <w:ind w:right="90" w:firstLine="456"/>
              <w:rPr>
                <w:b/>
                <w:bCs/>
                <w:sz w:val="22"/>
                <w:szCs w:val="22"/>
                <w:lang w:val="ro-RO"/>
              </w:rPr>
            </w:pPr>
            <w:r w:rsidRPr="000F57AA">
              <w:rPr>
                <w:b/>
                <w:bCs/>
                <w:sz w:val="22"/>
                <w:szCs w:val="22"/>
                <w:lang w:val="ro-RO"/>
              </w:rPr>
              <w:t xml:space="preserve">Tipul </w:t>
            </w:r>
            <w:r w:rsidR="001B57B6" w:rsidRPr="000F57AA">
              <w:rPr>
                <w:b/>
                <w:bCs/>
                <w:sz w:val="22"/>
                <w:szCs w:val="22"/>
                <w:lang w:val="ro-RO"/>
              </w:rPr>
              <w:t xml:space="preserve">băncii </w:t>
            </w:r>
          </w:p>
          <w:p w14:paraId="1077CD8D" w14:textId="77777777" w:rsidR="00377F2F" w:rsidRPr="000F57AA" w:rsidRDefault="00377F2F" w:rsidP="00536A05">
            <w:pPr>
              <w:ind w:right="90" w:firstLine="456"/>
              <w:rPr>
                <w:sz w:val="22"/>
                <w:szCs w:val="22"/>
                <w:lang w:val="ro-RO"/>
              </w:rPr>
            </w:pPr>
            <w:r w:rsidRPr="000F57AA">
              <w:rPr>
                <w:sz w:val="22"/>
                <w:szCs w:val="22"/>
                <w:lang w:val="ro-RO"/>
              </w:rPr>
              <w:t xml:space="preserve">Banca indică în această celulă în care dintre următoarele categorii se încadrează din punctul de vedere al tipului său de activitate: </w:t>
            </w:r>
          </w:p>
          <w:p w14:paraId="76CF4A57" w14:textId="519D0351" w:rsidR="00377F2F" w:rsidRPr="000F57AA" w:rsidRDefault="00377F2F" w:rsidP="00536A05">
            <w:pPr>
              <w:ind w:right="90" w:firstLine="456"/>
              <w:rPr>
                <w:sz w:val="22"/>
                <w:szCs w:val="22"/>
                <w:lang w:val="ro-RO"/>
              </w:rPr>
            </w:pPr>
            <w:r w:rsidRPr="000F57AA">
              <w:rPr>
                <w:sz w:val="22"/>
                <w:szCs w:val="22"/>
                <w:lang w:val="ro-RO"/>
              </w:rPr>
              <w:t xml:space="preserve">— bancă universală (bancă de retail/comercială și de investiţii); </w:t>
            </w:r>
          </w:p>
          <w:p w14:paraId="0963E3CB" w14:textId="77777777" w:rsidR="00377F2F" w:rsidRPr="000F57AA" w:rsidRDefault="00377F2F" w:rsidP="00536A05">
            <w:pPr>
              <w:ind w:right="90" w:firstLine="456"/>
              <w:rPr>
                <w:sz w:val="22"/>
                <w:szCs w:val="22"/>
                <w:lang w:val="ro-RO"/>
              </w:rPr>
            </w:pPr>
            <w:r w:rsidRPr="000F57AA">
              <w:rPr>
                <w:sz w:val="22"/>
                <w:szCs w:val="22"/>
                <w:lang w:val="ro-RO"/>
              </w:rPr>
              <w:t xml:space="preserve">— bancă de retail/comercială; </w:t>
            </w:r>
          </w:p>
          <w:p w14:paraId="5826A3B5" w14:textId="77777777" w:rsidR="00377F2F" w:rsidRPr="000F57AA" w:rsidRDefault="00377F2F" w:rsidP="00536A05">
            <w:pPr>
              <w:ind w:right="90" w:firstLine="456"/>
              <w:rPr>
                <w:sz w:val="22"/>
                <w:szCs w:val="22"/>
                <w:lang w:val="ro-RO"/>
              </w:rPr>
            </w:pPr>
            <w:r w:rsidRPr="000F57AA">
              <w:rPr>
                <w:sz w:val="22"/>
                <w:szCs w:val="22"/>
                <w:lang w:val="ro-RO"/>
              </w:rPr>
              <w:t xml:space="preserve">— bancă de investiţii; </w:t>
            </w:r>
          </w:p>
          <w:p w14:paraId="5D634319" w14:textId="77777777" w:rsidR="00377F2F" w:rsidRPr="000F57AA" w:rsidRDefault="00377F2F" w:rsidP="00536A05">
            <w:pPr>
              <w:ind w:right="90" w:firstLine="456"/>
              <w:rPr>
                <w:sz w:val="22"/>
                <w:szCs w:val="22"/>
                <w:lang w:val="ro-RO"/>
              </w:rPr>
            </w:pPr>
            <w:r w:rsidRPr="000F57AA">
              <w:rPr>
                <w:sz w:val="22"/>
                <w:szCs w:val="22"/>
                <w:lang w:val="ro-RO"/>
              </w:rPr>
              <w:lastRenderedPageBreak/>
              <w:t xml:space="preserve">— creditor specializat; </w:t>
            </w:r>
          </w:p>
          <w:p w14:paraId="5414579C" w14:textId="441208F2" w:rsidR="00377F2F" w:rsidRPr="000F57AA" w:rsidRDefault="00377F2F" w:rsidP="00536A05">
            <w:pPr>
              <w:ind w:right="90" w:firstLine="456"/>
              <w:rPr>
                <w:b/>
                <w:bCs/>
                <w:sz w:val="22"/>
                <w:szCs w:val="22"/>
                <w:lang w:val="ro-RO" w:eastAsia="ru-RU"/>
                <w14:ligatures w14:val="standardContextual"/>
              </w:rPr>
            </w:pPr>
            <w:r w:rsidRPr="000F57AA">
              <w:rPr>
                <w:sz w:val="22"/>
                <w:szCs w:val="22"/>
                <w:lang w:val="ro-RO"/>
              </w:rPr>
              <w:t>— alt model de afaceri.</w:t>
            </w:r>
          </w:p>
        </w:tc>
      </w:tr>
      <w:tr w:rsidR="00377F2F" w:rsidRPr="000F57AA" w14:paraId="6586BB5B" w14:textId="77777777" w:rsidTr="00D13365">
        <w:trPr>
          <w:trHeight w:val="161"/>
        </w:trPr>
        <w:tc>
          <w:tcPr>
            <w:tcW w:w="1129" w:type="dxa"/>
          </w:tcPr>
          <w:p w14:paraId="7B480926" w14:textId="02B9A43A" w:rsidR="00377F2F" w:rsidRPr="000F57AA" w:rsidRDefault="00377F2F" w:rsidP="00377F2F">
            <w:pPr>
              <w:ind w:right="90"/>
              <w:rPr>
                <w:sz w:val="22"/>
                <w:szCs w:val="22"/>
                <w:lang w:val="ro-RO" w:eastAsia="ru-RU"/>
                <w14:ligatures w14:val="standardContextual"/>
              </w:rPr>
            </w:pPr>
            <w:r w:rsidRPr="000F57AA">
              <w:rPr>
                <w:sz w:val="22"/>
                <w:szCs w:val="22"/>
                <w:lang w:val="ro-RO"/>
              </w:rPr>
              <w:lastRenderedPageBreak/>
              <w:t>{0070;0010}</w:t>
            </w:r>
          </w:p>
        </w:tc>
        <w:tc>
          <w:tcPr>
            <w:tcW w:w="7513" w:type="dxa"/>
          </w:tcPr>
          <w:p w14:paraId="26DDEFDB" w14:textId="144DE6AB" w:rsidR="00377F2F" w:rsidRPr="000F57AA" w:rsidRDefault="007A747A" w:rsidP="00536A05">
            <w:pPr>
              <w:ind w:right="90" w:firstLine="456"/>
              <w:rPr>
                <w:b/>
                <w:bCs/>
                <w:sz w:val="22"/>
                <w:szCs w:val="22"/>
                <w:lang w:val="ro-RO"/>
              </w:rPr>
            </w:pPr>
            <w:r w:rsidRPr="000F57AA">
              <w:rPr>
                <w:b/>
                <w:bCs/>
                <w:sz w:val="22"/>
                <w:szCs w:val="22"/>
                <w:lang w:val="ro-RO"/>
              </w:rPr>
              <w:t xml:space="preserve">Bancă </w:t>
            </w:r>
            <w:r w:rsidR="00377F2F" w:rsidRPr="000F57AA">
              <w:rPr>
                <w:b/>
                <w:bCs/>
                <w:sz w:val="22"/>
                <w:szCs w:val="22"/>
                <w:lang w:val="ro-RO"/>
              </w:rPr>
              <w:t xml:space="preserve">cu o unitate pentru dezvoltare publică </w:t>
            </w:r>
          </w:p>
          <w:p w14:paraId="0EAD5639" w14:textId="77777777" w:rsidR="00377F2F" w:rsidRPr="000F57AA" w:rsidRDefault="00377F2F" w:rsidP="00377F2F">
            <w:pPr>
              <w:ind w:right="90" w:firstLine="456"/>
              <w:rPr>
                <w:b/>
                <w:bCs/>
                <w:sz w:val="22"/>
                <w:szCs w:val="22"/>
                <w:lang w:val="ro-RO" w:eastAsia="ru-RU"/>
                <w14:ligatures w14:val="standardContextual"/>
              </w:rPr>
            </w:pPr>
          </w:p>
        </w:tc>
        <w:tc>
          <w:tcPr>
            <w:tcW w:w="992" w:type="dxa"/>
          </w:tcPr>
          <w:p w14:paraId="1593E361" w14:textId="5473F507" w:rsidR="00377F2F" w:rsidRPr="000F57AA" w:rsidRDefault="00377F2F" w:rsidP="00377F2F">
            <w:pPr>
              <w:ind w:right="90"/>
              <w:rPr>
                <w:sz w:val="22"/>
                <w:szCs w:val="22"/>
                <w:lang w:val="ro-RO" w:eastAsia="ru-RU"/>
                <w14:ligatures w14:val="standardContextual"/>
              </w:rPr>
            </w:pPr>
            <w:r w:rsidRPr="000F57AA">
              <w:rPr>
                <w:sz w:val="22"/>
                <w:szCs w:val="22"/>
                <w:lang w:val="ro-RO" w:eastAsia="ru-RU"/>
                <w14:ligatures w14:val="standardContextual"/>
              </w:rPr>
              <w:t>blocat</w:t>
            </w:r>
          </w:p>
        </w:tc>
      </w:tr>
      <w:tr w:rsidR="00377F2F" w:rsidRPr="000F57AA" w14:paraId="31CE0C77" w14:textId="77777777" w:rsidTr="00D13365">
        <w:trPr>
          <w:trHeight w:val="161"/>
        </w:trPr>
        <w:tc>
          <w:tcPr>
            <w:tcW w:w="1129" w:type="dxa"/>
          </w:tcPr>
          <w:p w14:paraId="4CA8EB5E" w14:textId="41458742" w:rsidR="00377F2F" w:rsidRPr="000F57AA" w:rsidRDefault="00377F2F" w:rsidP="00377F2F">
            <w:pPr>
              <w:ind w:right="90"/>
              <w:rPr>
                <w:sz w:val="22"/>
                <w:szCs w:val="22"/>
                <w:lang w:val="ro-RO" w:eastAsia="ru-RU"/>
                <w14:ligatures w14:val="standardContextual"/>
              </w:rPr>
            </w:pPr>
            <w:r w:rsidRPr="000F57AA">
              <w:rPr>
                <w:sz w:val="22"/>
                <w:szCs w:val="22"/>
                <w:lang w:val="ro-RO"/>
              </w:rPr>
              <w:t>{0080;0010}, {00090;0010}, {0100;0010}</w:t>
            </w:r>
          </w:p>
        </w:tc>
        <w:tc>
          <w:tcPr>
            <w:tcW w:w="7513" w:type="dxa"/>
          </w:tcPr>
          <w:p w14:paraId="17CC77B9" w14:textId="155201DB" w:rsidR="00377F2F" w:rsidRPr="000F57AA" w:rsidRDefault="00377F2F" w:rsidP="00377F2F">
            <w:pPr>
              <w:ind w:right="90" w:firstLine="456"/>
              <w:rPr>
                <w:b/>
                <w:bCs/>
                <w:sz w:val="22"/>
                <w:szCs w:val="22"/>
                <w:lang w:val="ro-RO" w:eastAsia="ru-RU"/>
                <w14:ligatures w14:val="standardContextual"/>
              </w:rPr>
            </w:pPr>
            <w:r w:rsidRPr="000F57AA">
              <w:rPr>
                <w:b/>
                <w:bCs/>
                <w:sz w:val="22"/>
                <w:szCs w:val="22"/>
                <w:lang w:val="ro-RO"/>
              </w:rPr>
              <w:t xml:space="preserve">Entitatea care garantează </w:t>
            </w:r>
            <w:r w:rsidR="00FA5B54" w:rsidRPr="000F57AA">
              <w:rPr>
                <w:b/>
                <w:bCs/>
                <w:sz w:val="22"/>
                <w:szCs w:val="22"/>
                <w:lang w:val="ro-RO"/>
              </w:rPr>
              <w:t>banca</w:t>
            </w:r>
            <w:r w:rsidRPr="000F57AA">
              <w:rPr>
                <w:b/>
                <w:bCs/>
                <w:sz w:val="22"/>
                <w:szCs w:val="22"/>
                <w:lang w:val="ro-RO"/>
              </w:rPr>
              <w:t xml:space="preserve">/unitatea pentru dezvoltare publică. Administraţie centrală, administraţie regională, autoritate locală </w:t>
            </w:r>
          </w:p>
        </w:tc>
        <w:tc>
          <w:tcPr>
            <w:tcW w:w="992" w:type="dxa"/>
          </w:tcPr>
          <w:p w14:paraId="075A647F" w14:textId="45081EE1" w:rsidR="00377F2F" w:rsidRPr="000F57AA" w:rsidRDefault="00377F2F" w:rsidP="00377F2F">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4D38D408" w14:textId="77777777" w:rsidTr="00D13365">
        <w:trPr>
          <w:trHeight w:val="161"/>
        </w:trPr>
        <w:tc>
          <w:tcPr>
            <w:tcW w:w="1129" w:type="dxa"/>
          </w:tcPr>
          <w:p w14:paraId="20E36C08" w14:textId="2F1B94CA" w:rsidR="00536A05" w:rsidRPr="000F57AA" w:rsidRDefault="00536A05" w:rsidP="00536A05">
            <w:pPr>
              <w:ind w:right="90"/>
              <w:rPr>
                <w:sz w:val="22"/>
                <w:szCs w:val="22"/>
                <w:lang w:val="ro-RO" w:eastAsia="ru-RU"/>
                <w14:ligatures w14:val="standardContextual"/>
              </w:rPr>
            </w:pPr>
            <w:r w:rsidRPr="000F57AA">
              <w:rPr>
                <w:sz w:val="22"/>
                <w:szCs w:val="22"/>
                <w:lang w:val="ro-RO"/>
              </w:rPr>
              <w:t>{0080;0010}</w:t>
            </w:r>
          </w:p>
        </w:tc>
        <w:tc>
          <w:tcPr>
            <w:tcW w:w="7513" w:type="dxa"/>
          </w:tcPr>
          <w:p w14:paraId="7D19FD81" w14:textId="0EE1120B"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Administraţie centrală care garantează </w:t>
            </w:r>
            <w:r w:rsidR="00FA5B54" w:rsidRPr="000F57AA">
              <w:rPr>
                <w:b/>
                <w:bCs/>
                <w:sz w:val="22"/>
                <w:szCs w:val="22"/>
                <w:lang w:val="ro-RO"/>
              </w:rPr>
              <w:t>băncile</w:t>
            </w:r>
            <w:r w:rsidRPr="000F57AA">
              <w:rPr>
                <w:b/>
                <w:bCs/>
                <w:sz w:val="22"/>
                <w:szCs w:val="22"/>
                <w:lang w:val="ro-RO"/>
              </w:rPr>
              <w:t>/unitatea pentru dezvoltare publică</w:t>
            </w:r>
          </w:p>
        </w:tc>
        <w:tc>
          <w:tcPr>
            <w:tcW w:w="992" w:type="dxa"/>
          </w:tcPr>
          <w:p w14:paraId="4FB42694" w14:textId="02EBFDC6"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4F9C9312" w14:textId="77777777" w:rsidTr="00D13365">
        <w:trPr>
          <w:trHeight w:val="161"/>
        </w:trPr>
        <w:tc>
          <w:tcPr>
            <w:tcW w:w="1129" w:type="dxa"/>
          </w:tcPr>
          <w:p w14:paraId="40A9294D" w14:textId="2EC30EC1" w:rsidR="00536A05" w:rsidRPr="000F57AA" w:rsidRDefault="00536A05" w:rsidP="00536A05">
            <w:pPr>
              <w:ind w:right="90"/>
              <w:rPr>
                <w:sz w:val="22"/>
                <w:szCs w:val="22"/>
                <w:lang w:val="ro-RO" w:eastAsia="ru-RU"/>
                <w14:ligatures w14:val="standardContextual"/>
              </w:rPr>
            </w:pPr>
            <w:r w:rsidRPr="000F57AA">
              <w:rPr>
                <w:sz w:val="22"/>
                <w:szCs w:val="22"/>
                <w:lang w:val="ro-RO"/>
              </w:rPr>
              <w:t>{0090;0010}</w:t>
            </w:r>
          </w:p>
        </w:tc>
        <w:tc>
          <w:tcPr>
            <w:tcW w:w="7513" w:type="dxa"/>
          </w:tcPr>
          <w:p w14:paraId="04C71C55" w14:textId="38EBF78B"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Administraţie regională care garantează </w:t>
            </w:r>
            <w:r w:rsidR="00FA5B54" w:rsidRPr="000F57AA">
              <w:rPr>
                <w:b/>
                <w:bCs/>
                <w:sz w:val="22"/>
                <w:szCs w:val="22"/>
                <w:lang w:val="ro-RO"/>
              </w:rPr>
              <w:t>băncile</w:t>
            </w:r>
            <w:r w:rsidRPr="000F57AA">
              <w:rPr>
                <w:b/>
                <w:bCs/>
                <w:sz w:val="22"/>
                <w:szCs w:val="22"/>
                <w:lang w:val="ro-RO"/>
              </w:rPr>
              <w:t>/unitatea pentru dezvoltare publică</w:t>
            </w:r>
          </w:p>
        </w:tc>
        <w:tc>
          <w:tcPr>
            <w:tcW w:w="992" w:type="dxa"/>
          </w:tcPr>
          <w:p w14:paraId="34A240CC" w14:textId="352F4088"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2E05CBFA" w14:textId="77777777" w:rsidTr="00D13365">
        <w:trPr>
          <w:trHeight w:val="161"/>
        </w:trPr>
        <w:tc>
          <w:tcPr>
            <w:tcW w:w="1129" w:type="dxa"/>
          </w:tcPr>
          <w:p w14:paraId="5CD06922" w14:textId="77F81337" w:rsidR="00536A05" w:rsidRPr="000F57AA" w:rsidRDefault="00536A05" w:rsidP="00536A05">
            <w:pPr>
              <w:ind w:right="90"/>
              <w:rPr>
                <w:sz w:val="22"/>
                <w:szCs w:val="22"/>
                <w:lang w:val="ro-RO" w:eastAsia="ru-RU"/>
                <w14:ligatures w14:val="standardContextual"/>
              </w:rPr>
            </w:pPr>
            <w:r w:rsidRPr="000F57AA">
              <w:rPr>
                <w:sz w:val="22"/>
                <w:szCs w:val="22"/>
                <w:lang w:val="ro-RO"/>
              </w:rPr>
              <w:t>{0100;0010}</w:t>
            </w:r>
          </w:p>
        </w:tc>
        <w:tc>
          <w:tcPr>
            <w:tcW w:w="7513" w:type="dxa"/>
          </w:tcPr>
          <w:p w14:paraId="0587BEAE" w14:textId="2B61F6F3"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Autoritate locală care garantează </w:t>
            </w:r>
            <w:r w:rsidR="00FA5B54" w:rsidRPr="000F57AA">
              <w:rPr>
                <w:b/>
                <w:bCs/>
                <w:sz w:val="22"/>
                <w:szCs w:val="22"/>
                <w:lang w:val="ro-RO"/>
              </w:rPr>
              <w:t>băncile</w:t>
            </w:r>
            <w:r w:rsidRPr="000F57AA">
              <w:rPr>
                <w:b/>
                <w:bCs/>
                <w:sz w:val="22"/>
                <w:szCs w:val="22"/>
                <w:lang w:val="ro-RO"/>
              </w:rPr>
              <w:t>/unitatea pentru dezvoltare publică</w:t>
            </w:r>
          </w:p>
        </w:tc>
        <w:tc>
          <w:tcPr>
            <w:tcW w:w="992" w:type="dxa"/>
          </w:tcPr>
          <w:p w14:paraId="425E12D8" w14:textId="5C664688"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21FC48E0" w14:textId="77777777" w:rsidTr="00D13365">
        <w:trPr>
          <w:trHeight w:val="161"/>
        </w:trPr>
        <w:tc>
          <w:tcPr>
            <w:tcW w:w="1129" w:type="dxa"/>
          </w:tcPr>
          <w:p w14:paraId="70EDB451" w14:textId="4DFDA768" w:rsidR="00536A05" w:rsidRPr="000F57AA" w:rsidRDefault="00536A05" w:rsidP="00536A05">
            <w:pPr>
              <w:ind w:right="90"/>
              <w:rPr>
                <w:sz w:val="22"/>
                <w:szCs w:val="22"/>
                <w:lang w:val="ro-RO" w:eastAsia="ru-RU"/>
                <w14:ligatures w14:val="standardContextual"/>
              </w:rPr>
            </w:pPr>
            <w:r w:rsidRPr="000F57AA">
              <w:rPr>
                <w:sz w:val="22"/>
                <w:szCs w:val="22"/>
                <w:lang w:val="ro-RO"/>
              </w:rPr>
              <w:t>{0110;0010}; {0120;0010}; {0130;0010}</w:t>
            </w:r>
          </w:p>
        </w:tc>
        <w:tc>
          <w:tcPr>
            <w:tcW w:w="7513" w:type="dxa"/>
          </w:tcPr>
          <w:p w14:paraId="170C31B3" w14:textId="5B7C5CF5" w:rsidR="00536A05" w:rsidRPr="000F57AA" w:rsidRDefault="00536A05" w:rsidP="00536A05">
            <w:pPr>
              <w:ind w:right="90" w:firstLine="456"/>
              <w:rPr>
                <w:b/>
                <w:bCs/>
                <w:sz w:val="22"/>
                <w:szCs w:val="22"/>
                <w:lang w:val="ro-RO"/>
              </w:rPr>
            </w:pPr>
            <w:r w:rsidRPr="000F57AA">
              <w:rPr>
                <w:b/>
                <w:bCs/>
                <w:sz w:val="22"/>
                <w:szCs w:val="22"/>
                <w:lang w:val="ro-RO"/>
              </w:rPr>
              <w:t xml:space="preserve">Tipul de garanţie primită </w:t>
            </w:r>
          </w:p>
          <w:p w14:paraId="221BEE8A" w14:textId="77777777" w:rsidR="00536A05" w:rsidRPr="000F57AA" w:rsidRDefault="00536A05" w:rsidP="00536A05">
            <w:pPr>
              <w:ind w:right="90" w:firstLine="456"/>
              <w:rPr>
                <w:b/>
                <w:bCs/>
                <w:sz w:val="22"/>
                <w:szCs w:val="22"/>
                <w:lang w:val="ro-RO" w:eastAsia="ru-RU"/>
                <w14:ligatures w14:val="standardContextual"/>
              </w:rPr>
            </w:pPr>
          </w:p>
        </w:tc>
        <w:tc>
          <w:tcPr>
            <w:tcW w:w="992" w:type="dxa"/>
          </w:tcPr>
          <w:p w14:paraId="6A2B80E2" w14:textId="1D8F4AC7"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7E1A4024" w14:textId="77777777" w:rsidTr="00D13365">
        <w:trPr>
          <w:trHeight w:val="161"/>
        </w:trPr>
        <w:tc>
          <w:tcPr>
            <w:tcW w:w="1129" w:type="dxa"/>
          </w:tcPr>
          <w:p w14:paraId="3C1A555E" w14:textId="780ED85F" w:rsidR="00536A05" w:rsidRPr="000F57AA" w:rsidRDefault="00536A05" w:rsidP="00536A05">
            <w:pPr>
              <w:ind w:right="90"/>
              <w:rPr>
                <w:sz w:val="22"/>
                <w:szCs w:val="22"/>
                <w:lang w:val="ro-RO" w:eastAsia="ru-RU"/>
                <w14:ligatures w14:val="standardContextual"/>
              </w:rPr>
            </w:pPr>
            <w:r w:rsidRPr="000F57AA">
              <w:rPr>
                <w:sz w:val="22"/>
                <w:szCs w:val="22"/>
                <w:lang w:val="ro-RO"/>
              </w:rPr>
              <w:t>{0110;0010}</w:t>
            </w:r>
          </w:p>
        </w:tc>
        <w:tc>
          <w:tcPr>
            <w:tcW w:w="7513" w:type="dxa"/>
          </w:tcPr>
          <w:p w14:paraId="33B8711C" w14:textId="02826D71"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Obligaţie de a proteja viabilitatea </w:t>
            </w:r>
            <w:r w:rsidR="00FA5B54" w:rsidRPr="000F57AA">
              <w:rPr>
                <w:b/>
                <w:bCs/>
                <w:sz w:val="22"/>
                <w:szCs w:val="22"/>
                <w:lang w:val="ro-RO"/>
              </w:rPr>
              <w:t>băncilor</w:t>
            </w:r>
          </w:p>
        </w:tc>
        <w:tc>
          <w:tcPr>
            <w:tcW w:w="992" w:type="dxa"/>
          </w:tcPr>
          <w:p w14:paraId="5949C513" w14:textId="6BE2295C"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65556B99" w14:textId="77777777" w:rsidTr="00D13365">
        <w:trPr>
          <w:trHeight w:val="161"/>
        </w:trPr>
        <w:tc>
          <w:tcPr>
            <w:tcW w:w="1129" w:type="dxa"/>
          </w:tcPr>
          <w:p w14:paraId="42A13240" w14:textId="317D722F" w:rsidR="00536A05" w:rsidRPr="000F57AA" w:rsidRDefault="00536A05" w:rsidP="00536A05">
            <w:pPr>
              <w:ind w:right="90"/>
              <w:rPr>
                <w:sz w:val="22"/>
                <w:szCs w:val="22"/>
                <w:lang w:val="ro-RO" w:eastAsia="ru-RU"/>
                <w14:ligatures w14:val="standardContextual"/>
              </w:rPr>
            </w:pPr>
            <w:r w:rsidRPr="000F57AA">
              <w:rPr>
                <w:sz w:val="22"/>
                <w:szCs w:val="22"/>
                <w:lang w:val="ro-RO"/>
              </w:rPr>
              <w:t>{0120;0010}</w:t>
            </w:r>
          </w:p>
        </w:tc>
        <w:tc>
          <w:tcPr>
            <w:tcW w:w="7513" w:type="dxa"/>
          </w:tcPr>
          <w:p w14:paraId="1994918B" w14:textId="122B40A2"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Garantare directă a cerinţelor de fonduri proprii, a cerinţelor de finanţare sau a creditelor promoţionale acordate ale </w:t>
            </w:r>
            <w:r w:rsidR="00FA5B54" w:rsidRPr="000F57AA">
              <w:rPr>
                <w:b/>
                <w:bCs/>
                <w:sz w:val="22"/>
                <w:szCs w:val="22"/>
                <w:lang w:val="ro-RO"/>
              </w:rPr>
              <w:t>băncilor</w:t>
            </w:r>
          </w:p>
        </w:tc>
        <w:tc>
          <w:tcPr>
            <w:tcW w:w="992" w:type="dxa"/>
          </w:tcPr>
          <w:p w14:paraId="3D118CDA" w14:textId="167C8612"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r w:rsidR="00536A05" w:rsidRPr="000F57AA" w14:paraId="57ABAAD0" w14:textId="77777777" w:rsidTr="00D13365">
        <w:trPr>
          <w:trHeight w:val="161"/>
        </w:trPr>
        <w:tc>
          <w:tcPr>
            <w:tcW w:w="1129" w:type="dxa"/>
          </w:tcPr>
          <w:p w14:paraId="775F05C3" w14:textId="214AF26B" w:rsidR="00536A05" w:rsidRPr="000F57AA" w:rsidRDefault="00536A05" w:rsidP="00536A05">
            <w:pPr>
              <w:ind w:right="90"/>
              <w:rPr>
                <w:sz w:val="22"/>
                <w:szCs w:val="22"/>
                <w:lang w:val="ro-RO" w:eastAsia="ru-RU"/>
                <w14:ligatures w14:val="standardContextual"/>
              </w:rPr>
            </w:pPr>
            <w:r w:rsidRPr="000F57AA">
              <w:rPr>
                <w:sz w:val="22"/>
                <w:szCs w:val="22"/>
                <w:lang w:val="ro-RO"/>
              </w:rPr>
              <w:t>{0130;0010}</w:t>
            </w:r>
          </w:p>
        </w:tc>
        <w:tc>
          <w:tcPr>
            <w:tcW w:w="7513" w:type="dxa"/>
          </w:tcPr>
          <w:p w14:paraId="7D27C173" w14:textId="169E71DA" w:rsidR="00536A05" w:rsidRPr="000F57AA" w:rsidRDefault="00536A05" w:rsidP="00536A05">
            <w:pPr>
              <w:ind w:right="90" w:firstLine="456"/>
              <w:rPr>
                <w:b/>
                <w:bCs/>
                <w:sz w:val="22"/>
                <w:szCs w:val="22"/>
                <w:lang w:val="ro-RO" w:eastAsia="ru-RU"/>
                <w14:ligatures w14:val="standardContextual"/>
              </w:rPr>
            </w:pPr>
            <w:r w:rsidRPr="000F57AA">
              <w:rPr>
                <w:b/>
                <w:bCs/>
                <w:sz w:val="22"/>
                <w:szCs w:val="22"/>
                <w:lang w:val="ro-RO"/>
              </w:rPr>
              <w:t xml:space="preserve">Garantare indirectă a cerinţelor de fonduri proprii, a cerinţelor de finanţare sau a creditelor promoţionale acordate ale </w:t>
            </w:r>
            <w:r w:rsidR="00FA5B54" w:rsidRPr="000F57AA">
              <w:rPr>
                <w:b/>
                <w:bCs/>
                <w:sz w:val="22"/>
                <w:szCs w:val="22"/>
                <w:lang w:val="ro-RO"/>
              </w:rPr>
              <w:t>băncilor</w:t>
            </w:r>
          </w:p>
        </w:tc>
        <w:tc>
          <w:tcPr>
            <w:tcW w:w="992" w:type="dxa"/>
          </w:tcPr>
          <w:p w14:paraId="136D0028" w14:textId="42301A4F" w:rsidR="00536A05" w:rsidRPr="000F57AA" w:rsidRDefault="00536A05" w:rsidP="00536A05">
            <w:pPr>
              <w:ind w:right="90"/>
              <w:rPr>
                <w:b/>
                <w:bCs/>
                <w:sz w:val="22"/>
                <w:szCs w:val="22"/>
                <w:lang w:val="ro-RO" w:eastAsia="ru-RU"/>
                <w14:ligatures w14:val="standardContextual"/>
              </w:rPr>
            </w:pPr>
            <w:r w:rsidRPr="000F57AA">
              <w:rPr>
                <w:sz w:val="22"/>
                <w:szCs w:val="22"/>
                <w:lang w:val="ro-RO" w:eastAsia="ru-RU"/>
                <w14:ligatures w14:val="standardContextual"/>
              </w:rPr>
              <w:t>blocat</w:t>
            </w:r>
          </w:p>
        </w:tc>
      </w:tr>
    </w:tbl>
    <w:p w14:paraId="28E688F1" w14:textId="77777777" w:rsidR="00C074D8" w:rsidRPr="000F57AA" w:rsidRDefault="00C074D8" w:rsidP="00C074D8">
      <w:pPr>
        <w:spacing w:after="0"/>
        <w:ind w:firstLine="708"/>
        <w:rPr>
          <w:rFonts w:ascii="Times New Roman" w:eastAsia="Times New Roman" w:hAnsi="Times New Roman" w:cs="Times New Roman"/>
          <w:lang w:val="ro-RO"/>
        </w:rPr>
      </w:pPr>
    </w:p>
    <w:p w14:paraId="079CE5DA" w14:textId="77777777" w:rsidR="009F2742" w:rsidRPr="000F57AA" w:rsidRDefault="009F2742" w:rsidP="009F274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b/>
          <w:bCs/>
          <w:lang w:val="ro-RO"/>
        </w:rPr>
        <w:t>Secțiunea 7</w:t>
      </w:r>
      <w:r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b/>
          <w:bCs/>
          <w:lang w:val="ro-RO"/>
        </w:rPr>
        <w:t xml:space="preserve">C 48.00 Volatilitatea indicatorului efectului de levier (LR6) </w:t>
      </w:r>
    </w:p>
    <w:p w14:paraId="68B6F1BA" w14:textId="292A893B" w:rsidR="00E4101D" w:rsidRPr="000F57AA" w:rsidRDefault="009F2742" w:rsidP="009F274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37. Se colectează informaţii în scopul monitorizării volatilităţii indicatorului efectului de levier. Informaţiile se raportează doar de către băncile care sunt societăţi de importanţă sistemică.</w:t>
      </w:r>
    </w:p>
    <w:p w14:paraId="2C26B228" w14:textId="5BDED0BC" w:rsidR="009F2742" w:rsidRPr="000F57AA" w:rsidRDefault="009F2742" w:rsidP="009F2742">
      <w:pPr>
        <w:spacing w:after="0"/>
        <w:ind w:firstLine="708"/>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Secțiunea 8.</w:t>
      </w:r>
      <w:r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b/>
          <w:bCs/>
          <w:lang w:val="ro-RO"/>
        </w:rPr>
        <w:t>C 48.01 Volatilitatea indicatorului efectului de levier: valoarea medie pentru perioada de raportare</w:t>
      </w:r>
    </w:p>
    <w:p w14:paraId="5A2DDB60" w14:textId="43903C44" w:rsidR="009F2742" w:rsidRPr="000F57AA" w:rsidRDefault="009F2742" w:rsidP="009F2742">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 48.01 – VOLATILITATEA INDICATORULUI EFECTULUI DE LEVIER: VALOAREA MEDIE PENTRU PERIOADA DE RAPORTARE (LR6.1)</w:t>
      </w:r>
    </w:p>
    <w:tbl>
      <w:tblPr>
        <w:tblW w:w="863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1"/>
        <w:gridCol w:w="5245"/>
        <w:gridCol w:w="1276"/>
        <w:gridCol w:w="1417"/>
      </w:tblGrid>
      <w:tr w:rsidR="009F2742" w:rsidRPr="00A05A6A" w14:paraId="08EF5946" w14:textId="77777777" w:rsidTr="00D13365">
        <w:trPr>
          <w:tblCellSpacing w:w="0" w:type="dxa"/>
        </w:trPr>
        <w:tc>
          <w:tcPr>
            <w:tcW w:w="701"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2C45DAC7"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Rând</w:t>
            </w:r>
          </w:p>
        </w:tc>
        <w:tc>
          <w:tcPr>
            <w:tcW w:w="5245" w:type="dxa"/>
            <w:vMerge w:val="restart"/>
            <w:tcBorders>
              <w:top w:val="outset" w:sz="6" w:space="0" w:color="auto"/>
              <w:left w:val="outset" w:sz="6" w:space="0" w:color="auto"/>
              <w:bottom w:val="outset" w:sz="6" w:space="0" w:color="auto"/>
              <w:right w:val="outset" w:sz="6" w:space="0" w:color="auto"/>
            </w:tcBorders>
            <w:shd w:val="clear" w:color="auto" w:fill="E7E6E6" w:themeFill="background2"/>
            <w:hideMark/>
          </w:tcPr>
          <w:p w14:paraId="0EE6C329"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 </w:t>
            </w:r>
          </w:p>
        </w:tc>
        <w:tc>
          <w:tcPr>
            <w:tcW w:w="127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5D9BE95"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Valoarea expunerilor aferente SFT-urilor</w:t>
            </w:r>
          </w:p>
        </w:tc>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D7126EE"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Ajustări pentru tranzacțiile contabilizate ca vânzări de SFT-uri</w:t>
            </w:r>
          </w:p>
        </w:tc>
      </w:tr>
      <w:tr w:rsidR="009F2742" w:rsidRPr="000F57AA" w14:paraId="2DD80C17" w14:textId="77777777" w:rsidTr="00D13365">
        <w:trPr>
          <w:tblCellSpacing w:w="0" w:type="dxa"/>
        </w:trPr>
        <w:tc>
          <w:tcPr>
            <w:tcW w:w="701"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6140799E" w14:textId="77777777" w:rsidR="009F2742" w:rsidRPr="000F57AA" w:rsidRDefault="009F2742" w:rsidP="009F2742">
            <w:pPr>
              <w:spacing w:after="0" w:line="240" w:lineRule="auto"/>
              <w:rPr>
                <w:rFonts w:ascii="Times New Roman" w:eastAsia="Times New Roman" w:hAnsi="Times New Roman" w:cs="Times New Roman"/>
                <w:b/>
                <w:bCs/>
                <w:color w:val="000000"/>
                <w:lang w:val="ro-RO" w:eastAsia="ro-MD"/>
              </w:rPr>
            </w:pPr>
          </w:p>
        </w:tc>
        <w:tc>
          <w:tcPr>
            <w:tcW w:w="5245" w:type="dxa"/>
            <w:vMerge/>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01867C2B" w14:textId="77777777" w:rsidR="009F2742" w:rsidRPr="000F57AA" w:rsidRDefault="009F2742" w:rsidP="009F2742">
            <w:pPr>
              <w:spacing w:after="0" w:line="240" w:lineRule="auto"/>
              <w:rPr>
                <w:rFonts w:ascii="Times New Roman" w:eastAsia="Times New Roman" w:hAnsi="Times New Roman" w:cs="Times New Roman"/>
                <w:b/>
                <w:bCs/>
                <w:color w:val="000000"/>
                <w:lang w:val="ro-RO" w:eastAsia="ro-MD"/>
              </w:rPr>
            </w:pPr>
          </w:p>
        </w:tc>
        <w:tc>
          <w:tcPr>
            <w:tcW w:w="1276"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1F5621F7"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0010</w:t>
            </w:r>
          </w:p>
        </w:tc>
        <w:tc>
          <w:tcPr>
            <w:tcW w:w="1417"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4661B7E1"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0020</w:t>
            </w:r>
          </w:p>
        </w:tc>
      </w:tr>
      <w:tr w:rsidR="009F2742" w:rsidRPr="00A05A6A" w14:paraId="44EC02D0" w14:textId="77777777" w:rsidTr="00D13365">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454AC51"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0010</w:t>
            </w:r>
          </w:p>
        </w:tc>
        <w:tc>
          <w:tcPr>
            <w:tcW w:w="5245" w:type="dxa"/>
            <w:tcBorders>
              <w:top w:val="outset" w:sz="6" w:space="0" w:color="auto"/>
              <w:left w:val="outset" w:sz="6" w:space="0" w:color="auto"/>
              <w:bottom w:val="outset" w:sz="6" w:space="0" w:color="auto"/>
              <w:right w:val="outset" w:sz="6" w:space="0" w:color="auto"/>
            </w:tcBorders>
            <w:hideMark/>
          </w:tcPr>
          <w:p w14:paraId="4F6370B9"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Valoarea medie pentru perioada de raportare</w:t>
            </w:r>
          </w:p>
        </w:tc>
        <w:tc>
          <w:tcPr>
            <w:tcW w:w="1276" w:type="dxa"/>
            <w:tcBorders>
              <w:top w:val="outset" w:sz="6" w:space="0" w:color="auto"/>
              <w:left w:val="outset" w:sz="6" w:space="0" w:color="auto"/>
              <w:bottom w:val="outset" w:sz="6" w:space="0" w:color="auto"/>
              <w:right w:val="outset" w:sz="6" w:space="0" w:color="auto"/>
            </w:tcBorders>
            <w:hideMark/>
          </w:tcPr>
          <w:p w14:paraId="34E8461E"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1417" w:type="dxa"/>
            <w:tcBorders>
              <w:top w:val="outset" w:sz="6" w:space="0" w:color="auto"/>
              <w:left w:val="outset" w:sz="6" w:space="0" w:color="auto"/>
              <w:bottom w:val="outset" w:sz="6" w:space="0" w:color="auto"/>
              <w:right w:val="outset" w:sz="6" w:space="0" w:color="auto"/>
            </w:tcBorders>
            <w:hideMark/>
          </w:tcPr>
          <w:p w14:paraId="4DD6CFBA" w14:textId="77777777" w:rsidR="009F2742" w:rsidRPr="000F57AA" w:rsidRDefault="009F2742" w:rsidP="009F2742">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bl>
    <w:p w14:paraId="5BEB3332" w14:textId="77777777" w:rsidR="009F2742" w:rsidRPr="000F57AA" w:rsidRDefault="009F2742" w:rsidP="009F2742">
      <w:pPr>
        <w:spacing w:after="0"/>
        <w:ind w:firstLine="708"/>
        <w:jc w:val="center"/>
        <w:rPr>
          <w:rFonts w:ascii="Times New Roman" w:eastAsia="Times New Roman" w:hAnsi="Times New Roman" w:cs="Times New Roman"/>
          <w:b/>
          <w:bCs/>
          <w:lang w:val="ro-RO"/>
        </w:rPr>
      </w:pPr>
    </w:p>
    <w:p w14:paraId="544E79C3" w14:textId="2101C4E4" w:rsidR="009F2742" w:rsidRPr="000F57AA" w:rsidRDefault="009F2742" w:rsidP="009F2742">
      <w:pPr>
        <w:spacing w:after="0"/>
        <w:ind w:firstLine="708"/>
        <w:jc w:val="center"/>
        <w:rPr>
          <w:rFonts w:ascii="Times New Roman" w:eastAsia="Times New Roman" w:hAnsi="Times New Roman" w:cs="Times New Roman"/>
          <w:b/>
          <w:bCs/>
          <w:lang w:val="ro-RO"/>
        </w:rPr>
      </w:pPr>
      <w:bookmarkStart w:id="13" w:name="_Hlk192666498"/>
      <w:r w:rsidRPr="000F57AA">
        <w:rPr>
          <w:rFonts w:ascii="Times New Roman" w:eastAsia="Times New Roman" w:hAnsi="Times New Roman" w:cs="Times New Roman"/>
          <w:b/>
          <w:bCs/>
          <w:lang w:val="ro-RO"/>
        </w:rPr>
        <w:t>Modul de completare a raportului</w:t>
      </w:r>
    </w:p>
    <w:bookmarkEnd w:id="13"/>
    <w:p w14:paraId="0FC70EB6" w14:textId="628C0EB1" w:rsidR="009F2742" w:rsidRPr="000F57AA" w:rsidRDefault="009F2742" w:rsidP="009F2742">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C 48.01 Volatilitatea indicatorului efectului de levier:</w:t>
      </w:r>
    </w:p>
    <w:p w14:paraId="3939197B" w14:textId="7386A724" w:rsidR="009F2742" w:rsidRPr="000F57AA" w:rsidRDefault="009F2742" w:rsidP="009F2742">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valoarea medie pentru perioada de raportare</w:t>
      </w:r>
    </w:p>
    <w:p w14:paraId="67EA2612" w14:textId="77777777" w:rsidR="009F2742" w:rsidRPr="000F57AA" w:rsidRDefault="009F2742" w:rsidP="009F2742">
      <w:pPr>
        <w:spacing w:after="0"/>
        <w:ind w:firstLine="708"/>
        <w:jc w:val="center"/>
        <w:rPr>
          <w:rFonts w:ascii="Times New Roman" w:eastAsia="Times New Roman" w:hAnsi="Times New Roman" w:cs="Times New Roman"/>
          <w:b/>
          <w:bCs/>
          <w:lang w:val="ro-RO"/>
        </w:rPr>
      </w:pPr>
    </w:p>
    <w:tbl>
      <w:tblPr>
        <w:tblStyle w:val="TableGrid1"/>
        <w:tblW w:w="9493" w:type="dxa"/>
        <w:tblLayout w:type="fixed"/>
        <w:tblLook w:val="04A0" w:firstRow="1" w:lastRow="0" w:firstColumn="1" w:lastColumn="0" w:noHBand="0" w:noVBand="1"/>
      </w:tblPr>
      <w:tblGrid>
        <w:gridCol w:w="1129"/>
        <w:gridCol w:w="8364"/>
      </w:tblGrid>
      <w:tr w:rsidR="009F2742" w:rsidRPr="000F57AA" w14:paraId="2E88DB3F" w14:textId="77777777" w:rsidTr="00E34096">
        <w:trPr>
          <w:trHeight w:val="107"/>
        </w:trPr>
        <w:tc>
          <w:tcPr>
            <w:tcW w:w="1129" w:type="dxa"/>
            <w:shd w:val="clear" w:color="auto" w:fill="E7E6E6" w:themeFill="background2"/>
          </w:tcPr>
          <w:p w14:paraId="76205FEC" w14:textId="77777777" w:rsidR="009F2742" w:rsidRPr="000F57AA" w:rsidRDefault="009F2742" w:rsidP="00E34096">
            <w:pPr>
              <w:ind w:right="90"/>
              <w:rPr>
                <w:sz w:val="22"/>
                <w:szCs w:val="22"/>
                <w:lang w:val="ro-RO" w:eastAsia="ru-RU"/>
                <w14:ligatures w14:val="standardContextual"/>
              </w:rPr>
            </w:pPr>
            <w:bookmarkStart w:id="14" w:name="_Hlk192666543"/>
            <w:r w:rsidRPr="000F57AA">
              <w:rPr>
                <w:sz w:val="22"/>
                <w:szCs w:val="22"/>
                <w:lang w:val="ro-RO" w:eastAsia="ru-RU"/>
                <w14:ligatures w14:val="standardContextual"/>
              </w:rPr>
              <w:t>Rând și coloană</w:t>
            </w:r>
          </w:p>
        </w:tc>
        <w:tc>
          <w:tcPr>
            <w:tcW w:w="8364" w:type="dxa"/>
            <w:shd w:val="clear" w:color="auto" w:fill="E7E6E6" w:themeFill="background2"/>
          </w:tcPr>
          <w:p w14:paraId="530CD65F" w14:textId="77777777" w:rsidR="009F2742" w:rsidRPr="000F57AA" w:rsidRDefault="009F2742" w:rsidP="00E34096">
            <w:pPr>
              <w:ind w:right="90"/>
              <w:rPr>
                <w:sz w:val="22"/>
                <w:szCs w:val="22"/>
                <w:lang w:val="ro-RO" w:eastAsia="ru-RU"/>
                <w14:ligatures w14:val="standardContextual"/>
              </w:rPr>
            </w:pPr>
            <w:r w:rsidRPr="000F57AA">
              <w:rPr>
                <w:sz w:val="22"/>
                <w:szCs w:val="22"/>
                <w:lang w:val="ro-RO" w:eastAsia="ru-RU"/>
                <w14:ligatures w14:val="standardContextual"/>
              </w:rPr>
              <w:t>Instrucţiuni</w:t>
            </w:r>
          </w:p>
        </w:tc>
      </w:tr>
      <w:tr w:rsidR="009F2742" w:rsidRPr="00A05A6A" w14:paraId="755383B6" w14:textId="77777777" w:rsidTr="00E34096">
        <w:trPr>
          <w:trHeight w:val="161"/>
        </w:trPr>
        <w:tc>
          <w:tcPr>
            <w:tcW w:w="1129" w:type="dxa"/>
          </w:tcPr>
          <w:p w14:paraId="534FC678" w14:textId="77777777" w:rsidR="009F2742" w:rsidRPr="000F57AA" w:rsidRDefault="009F2742" w:rsidP="00E34096">
            <w:pPr>
              <w:ind w:right="90"/>
              <w:rPr>
                <w:sz w:val="22"/>
                <w:szCs w:val="22"/>
                <w:lang w:val="ro-RO" w:eastAsia="ru-RU"/>
                <w14:ligatures w14:val="standardContextual"/>
              </w:rPr>
            </w:pPr>
            <w:r w:rsidRPr="000F57AA">
              <w:rPr>
                <w:sz w:val="22"/>
                <w:szCs w:val="22"/>
                <w:lang w:val="ro-RO" w:eastAsia="ru-RU"/>
                <w14:ligatures w14:val="standardContextual"/>
              </w:rPr>
              <w:lastRenderedPageBreak/>
              <w:t>{0010;0010}</w:t>
            </w:r>
          </w:p>
        </w:tc>
        <w:tc>
          <w:tcPr>
            <w:tcW w:w="8364" w:type="dxa"/>
          </w:tcPr>
          <w:p w14:paraId="41C9A6A4" w14:textId="77777777" w:rsidR="009F2742" w:rsidRPr="000F57AA" w:rsidRDefault="009F2742" w:rsidP="009F2742">
            <w:pPr>
              <w:ind w:right="90" w:firstLine="456"/>
              <w:rPr>
                <w:b/>
                <w:bCs/>
                <w:sz w:val="22"/>
                <w:szCs w:val="22"/>
                <w:lang w:val="ro-RO" w:eastAsia="ru-RU"/>
                <w14:ligatures w14:val="standardContextual"/>
              </w:rPr>
            </w:pPr>
            <w:r w:rsidRPr="000F57AA">
              <w:rPr>
                <w:b/>
                <w:bCs/>
                <w:sz w:val="22"/>
                <w:szCs w:val="22"/>
                <w:lang w:val="ro-RO" w:eastAsia="ru-RU"/>
                <w14:ligatures w14:val="standardContextual"/>
              </w:rPr>
              <w:t xml:space="preserve">Valoarea medie pentru perioada de raportare – Valoarea expunerilor aferente SFT-urilor </w:t>
            </w:r>
          </w:p>
          <w:p w14:paraId="29EFF33F" w14:textId="6D620B0F" w:rsidR="009F2742" w:rsidRPr="000F57AA" w:rsidRDefault="009F2742" w:rsidP="009F2742">
            <w:pPr>
              <w:ind w:right="90" w:firstLine="456"/>
              <w:rPr>
                <w:sz w:val="22"/>
                <w:szCs w:val="22"/>
                <w:lang w:val="ro-RO" w:eastAsia="ru-RU"/>
                <w14:ligatures w14:val="standardContextual"/>
              </w:rPr>
            </w:pPr>
            <w:r w:rsidRPr="000F57AA">
              <w:rPr>
                <w:sz w:val="22"/>
                <w:szCs w:val="22"/>
                <w:lang w:val="ro-RO" w:eastAsia="ru-RU"/>
                <w14:ligatures w14:val="standardContextual"/>
              </w:rPr>
              <w:t>Băncile raportează media valorilor zilnice din cursul trimestrului de raportare ale expunerilor aferente SFT-urilor, fără segmentul CPC exclus din expunerile aferente tranzacţiilor compensate pentru clienţi, astfel cum sunt definite pe rândurile 0010 și 0050 din formularul C</w:t>
            </w:r>
            <w:r w:rsidR="00D10246" w:rsidRPr="000F57AA">
              <w:rPr>
                <w:sz w:val="22"/>
                <w:szCs w:val="22"/>
                <w:lang w:val="ro-RO" w:eastAsia="ru-RU"/>
                <w14:ligatures w14:val="standardContextual"/>
              </w:rPr>
              <w:t xml:space="preserve"> </w:t>
            </w:r>
            <w:r w:rsidRPr="000F57AA">
              <w:rPr>
                <w:sz w:val="22"/>
                <w:szCs w:val="22"/>
                <w:lang w:val="ro-RO" w:eastAsia="ru-RU"/>
                <w14:ligatures w14:val="standardContextual"/>
              </w:rPr>
              <w:t>47.00.</w:t>
            </w:r>
          </w:p>
        </w:tc>
      </w:tr>
      <w:bookmarkEnd w:id="14"/>
      <w:tr w:rsidR="009F2742" w:rsidRPr="00A05A6A" w14:paraId="26F592BA" w14:textId="77777777" w:rsidTr="00E34096">
        <w:trPr>
          <w:trHeight w:val="161"/>
        </w:trPr>
        <w:tc>
          <w:tcPr>
            <w:tcW w:w="1129" w:type="dxa"/>
          </w:tcPr>
          <w:p w14:paraId="3A5D5CAF" w14:textId="1B5EAE67" w:rsidR="009F2742" w:rsidRPr="000F57AA" w:rsidRDefault="009F2742" w:rsidP="009F2742">
            <w:pPr>
              <w:ind w:right="90"/>
              <w:rPr>
                <w:sz w:val="22"/>
                <w:szCs w:val="22"/>
                <w:lang w:val="ro-RO" w:eastAsia="ru-RU"/>
                <w14:ligatures w14:val="standardContextual"/>
              </w:rPr>
            </w:pPr>
            <w:r w:rsidRPr="000F57AA">
              <w:rPr>
                <w:sz w:val="22"/>
                <w:szCs w:val="22"/>
                <w:lang w:val="ro-RO"/>
              </w:rPr>
              <w:t>{0010;0020}</w:t>
            </w:r>
          </w:p>
        </w:tc>
        <w:tc>
          <w:tcPr>
            <w:tcW w:w="8364" w:type="dxa"/>
          </w:tcPr>
          <w:p w14:paraId="1A55652F" w14:textId="77777777" w:rsidR="009F2742" w:rsidRPr="000F57AA" w:rsidRDefault="009F2742" w:rsidP="009F2742">
            <w:pPr>
              <w:ind w:right="90" w:firstLine="456"/>
              <w:rPr>
                <w:b/>
                <w:bCs/>
                <w:sz w:val="22"/>
                <w:szCs w:val="22"/>
                <w:lang w:val="ro-RO"/>
              </w:rPr>
            </w:pPr>
            <w:r w:rsidRPr="000F57AA">
              <w:rPr>
                <w:b/>
                <w:bCs/>
                <w:sz w:val="22"/>
                <w:szCs w:val="22"/>
                <w:lang w:val="ro-RO"/>
              </w:rPr>
              <w:t xml:space="preserve">Valoarea medie pentru perioada de raportare – Ajustări pentru tranzacţiile contabilizate ca vânzări de SFT-uri </w:t>
            </w:r>
          </w:p>
          <w:p w14:paraId="2AB96F75" w14:textId="226862E1" w:rsidR="009F2742" w:rsidRPr="000F57AA" w:rsidRDefault="009F2742" w:rsidP="009F2742">
            <w:pPr>
              <w:ind w:right="90" w:firstLine="456"/>
              <w:rPr>
                <w:b/>
                <w:bCs/>
                <w:sz w:val="22"/>
                <w:szCs w:val="22"/>
                <w:lang w:val="ro-RO" w:eastAsia="ru-RU"/>
                <w14:ligatures w14:val="standardContextual"/>
              </w:rPr>
            </w:pPr>
            <w:r w:rsidRPr="000F57AA">
              <w:rPr>
                <w:sz w:val="22"/>
                <w:szCs w:val="22"/>
                <w:lang w:val="ro-RO"/>
              </w:rPr>
              <w:t>Băncile raportează media valorilor zilnice din cursul trimestrului de raportare ale ajustărilor pentru tranzacţiile contabilizate ca vânzări de SFT-uri, astfel cum sunt definite pe rândul 0230 din formularul C</w:t>
            </w:r>
            <w:r w:rsidR="00D10246" w:rsidRPr="000F57AA">
              <w:rPr>
                <w:sz w:val="22"/>
                <w:szCs w:val="22"/>
                <w:lang w:val="ro-RO"/>
              </w:rPr>
              <w:t xml:space="preserve"> </w:t>
            </w:r>
            <w:r w:rsidRPr="000F57AA">
              <w:rPr>
                <w:sz w:val="22"/>
                <w:szCs w:val="22"/>
                <w:lang w:val="ro-RO"/>
              </w:rPr>
              <w:t>47.00.</w:t>
            </w:r>
          </w:p>
        </w:tc>
      </w:tr>
    </w:tbl>
    <w:p w14:paraId="113AA133" w14:textId="77777777" w:rsidR="009F2742" w:rsidRPr="000F57AA" w:rsidRDefault="009F2742" w:rsidP="00E067BD">
      <w:pPr>
        <w:spacing w:after="0"/>
        <w:ind w:firstLine="708"/>
        <w:rPr>
          <w:rFonts w:ascii="Times New Roman" w:eastAsia="Times New Roman" w:hAnsi="Times New Roman" w:cs="Times New Roman"/>
          <w:lang w:val="ro-RO"/>
        </w:rPr>
      </w:pPr>
    </w:p>
    <w:p w14:paraId="40C862B6" w14:textId="77777777" w:rsidR="00E067BD" w:rsidRPr="000F57AA" w:rsidRDefault="00E067BD" w:rsidP="00E067B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b/>
          <w:bCs/>
          <w:lang w:val="ro-RO"/>
        </w:rPr>
        <w:t>Secțiunea 9.</w:t>
      </w:r>
      <w:r w:rsidRPr="000F57AA">
        <w:rPr>
          <w:rFonts w:ascii="Times New Roman" w:eastAsia="Times New Roman" w:hAnsi="Times New Roman" w:cs="Times New Roman"/>
          <w:lang w:val="ro-RO"/>
        </w:rPr>
        <w:t xml:space="preserve"> </w:t>
      </w:r>
      <w:r w:rsidRPr="000F57AA">
        <w:rPr>
          <w:rFonts w:ascii="Times New Roman" w:eastAsia="Times New Roman" w:hAnsi="Times New Roman" w:cs="Times New Roman"/>
          <w:b/>
          <w:bCs/>
          <w:lang w:val="ro-RO"/>
        </w:rPr>
        <w:t xml:space="preserve">C 48.02 Volatilitatea indicatorului efectului de levier: valorile zilnice pentru perioada de raportare </w:t>
      </w:r>
    </w:p>
    <w:p w14:paraId="1C7E0C51" w14:textId="627FA74C" w:rsidR="00E067BD" w:rsidRPr="000F57AA" w:rsidRDefault="00E067BD" w:rsidP="00E067BD">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38. Se raportează valorile zilnice din cursul trimestrului.</w:t>
      </w:r>
    </w:p>
    <w:p w14:paraId="5D2F31C6" w14:textId="54A330D3" w:rsidR="00E067BD" w:rsidRPr="000F57AA" w:rsidRDefault="00E067BD" w:rsidP="00E067B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C 48.02 – VOLATILITATEA INDICATORULUI EFECTULUI DE LEVIER: VALORILE ZILNICE PENTRU PERIOADA DE RAPORTARE (LR6.2)</w:t>
      </w:r>
    </w:p>
    <w:tbl>
      <w:tblPr>
        <w:tblW w:w="916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37"/>
        <w:gridCol w:w="2583"/>
        <w:gridCol w:w="3642"/>
      </w:tblGrid>
      <w:tr w:rsidR="00E067BD" w:rsidRPr="00A05A6A" w14:paraId="1D04DE22" w14:textId="77777777" w:rsidTr="00381D5A">
        <w:trPr>
          <w:trHeight w:val="704"/>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76956353"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Data de referință din cadrul perioadei de raportare</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C1064A8"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Valoarea expunerilor aferente SFT-urilor</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7BF26475"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Ajustări pentru tranzacțiile contabilizate ca vânzări de SFT-uri</w:t>
            </w:r>
          </w:p>
        </w:tc>
      </w:tr>
      <w:tr w:rsidR="00E067BD" w:rsidRPr="000F57AA" w14:paraId="33C1EDE3" w14:textId="77777777" w:rsidTr="00381D5A">
        <w:trPr>
          <w:trHeight w:val="251"/>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5ECA7B1E"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0010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18E213A7"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0020</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hideMark/>
          </w:tcPr>
          <w:p w14:paraId="3418BAC5"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b/>
                <w:bCs/>
                <w:color w:val="000000"/>
                <w:lang w:val="ro-RO" w:eastAsia="ro-MD"/>
              </w:rPr>
            </w:pPr>
            <w:r w:rsidRPr="000F57AA">
              <w:rPr>
                <w:rFonts w:ascii="Times New Roman" w:eastAsia="Times New Roman" w:hAnsi="Times New Roman" w:cs="Times New Roman"/>
                <w:b/>
                <w:bCs/>
                <w:color w:val="000000"/>
                <w:lang w:val="ro-RO" w:eastAsia="ro-MD"/>
              </w:rPr>
              <w:t>0030</w:t>
            </w:r>
          </w:p>
        </w:tc>
      </w:tr>
      <w:tr w:rsidR="00E067BD" w:rsidRPr="000F57AA" w14:paraId="5343B243" w14:textId="77777777" w:rsidTr="00E34096">
        <w:trPr>
          <w:trHeight w:val="251"/>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CFDA88"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0DFF6EAC"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B45791B" w14:textId="77777777" w:rsidR="00E067BD" w:rsidRPr="000F57AA" w:rsidRDefault="00E067BD" w:rsidP="00E067BD">
            <w:pPr>
              <w:spacing w:before="100" w:beforeAutospacing="1" w:after="100" w:afterAutospacing="1" w:line="240" w:lineRule="auto"/>
              <w:rPr>
                <w:rFonts w:ascii="Times New Roman" w:eastAsia="Times New Roman" w:hAnsi="Times New Roman" w:cs="Times New Roman"/>
                <w:color w:val="000000"/>
                <w:lang w:val="ro-RO" w:eastAsia="ro-MD"/>
              </w:rPr>
            </w:pPr>
            <w:r w:rsidRPr="000F57AA">
              <w:rPr>
                <w:rFonts w:ascii="Times New Roman" w:eastAsia="Times New Roman" w:hAnsi="Times New Roman" w:cs="Times New Roman"/>
                <w:color w:val="000000"/>
                <w:lang w:val="ro-RO" w:eastAsia="ro-MD"/>
              </w:rPr>
              <w:t> </w:t>
            </w:r>
          </w:p>
        </w:tc>
      </w:tr>
    </w:tbl>
    <w:p w14:paraId="4ACC2BAA" w14:textId="77777777" w:rsidR="00E067BD" w:rsidRPr="000F57AA" w:rsidRDefault="00E067BD" w:rsidP="00E067BD">
      <w:pPr>
        <w:spacing w:after="0"/>
        <w:ind w:firstLine="708"/>
        <w:jc w:val="center"/>
        <w:rPr>
          <w:rFonts w:ascii="Times New Roman" w:eastAsia="Times New Roman" w:hAnsi="Times New Roman" w:cs="Times New Roman"/>
          <w:b/>
          <w:bCs/>
          <w:lang w:val="ro-RO"/>
        </w:rPr>
      </w:pPr>
    </w:p>
    <w:p w14:paraId="7C8CA22A" w14:textId="3A3628E8" w:rsidR="00E067BD" w:rsidRPr="000F57AA" w:rsidRDefault="00E067BD" w:rsidP="00E067B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Modul de completare a raportului</w:t>
      </w:r>
    </w:p>
    <w:p w14:paraId="41BB00B3" w14:textId="77777777" w:rsidR="00E067BD" w:rsidRPr="000F57AA" w:rsidRDefault="00E067BD" w:rsidP="00E067B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 xml:space="preserve">C 48.02 Volatilitatea indicatorului efectului de levier: valorile zilnice </w:t>
      </w:r>
    </w:p>
    <w:p w14:paraId="1D8E6136" w14:textId="577BC17F" w:rsidR="00E067BD" w:rsidRPr="000F57AA" w:rsidRDefault="00E067BD" w:rsidP="00E067BD">
      <w:pPr>
        <w:spacing w:after="0"/>
        <w:ind w:firstLine="708"/>
        <w:jc w:val="center"/>
        <w:rPr>
          <w:rFonts w:ascii="Times New Roman" w:eastAsia="Times New Roman" w:hAnsi="Times New Roman" w:cs="Times New Roman"/>
          <w:b/>
          <w:bCs/>
          <w:lang w:val="ro-RO"/>
        </w:rPr>
      </w:pPr>
      <w:r w:rsidRPr="000F57AA">
        <w:rPr>
          <w:rFonts w:ascii="Times New Roman" w:eastAsia="Times New Roman" w:hAnsi="Times New Roman" w:cs="Times New Roman"/>
          <w:b/>
          <w:bCs/>
          <w:lang w:val="ro-RO"/>
        </w:rPr>
        <w:t>pentru perioada de raportare</w:t>
      </w:r>
    </w:p>
    <w:tbl>
      <w:tblPr>
        <w:tblStyle w:val="TableGrid1"/>
        <w:tblW w:w="9493" w:type="dxa"/>
        <w:tblLayout w:type="fixed"/>
        <w:tblLook w:val="04A0" w:firstRow="1" w:lastRow="0" w:firstColumn="1" w:lastColumn="0" w:noHBand="0" w:noVBand="1"/>
      </w:tblPr>
      <w:tblGrid>
        <w:gridCol w:w="1129"/>
        <w:gridCol w:w="8364"/>
      </w:tblGrid>
      <w:tr w:rsidR="00E067BD" w:rsidRPr="000F57AA" w14:paraId="22EE35F2" w14:textId="77777777" w:rsidTr="00E34096">
        <w:trPr>
          <w:trHeight w:val="107"/>
        </w:trPr>
        <w:tc>
          <w:tcPr>
            <w:tcW w:w="1129" w:type="dxa"/>
            <w:shd w:val="clear" w:color="auto" w:fill="E7E6E6" w:themeFill="background2"/>
          </w:tcPr>
          <w:p w14:paraId="10E02BB1" w14:textId="77777777" w:rsidR="00E067BD" w:rsidRPr="000F57AA" w:rsidRDefault="00E067BD" w:rsidP="00E34096">
            <w:pPr>
              <w:ind w:right="90"/>
              <w:rPr>
                <w:sz w:val="22"/>
                <w:szCs w:val="22"/>
                <w:lang w:val="ro-RO" w:eastAsia="ru-RU"/>
                <w14:ligatures w14:val="standardContextual"/>
              </w:rPr>
            </w:pPr>
            <w:r w:rsidRPr="000F57AA">
              <w:rPr>
                <w:sz w:val="22"/>
                <w:szCs w:val="22"/>
                <w:lang w:val="ro-RO" w:eastAsia="ru-RU"/>
                <w14:ligatures w14:val="standardContextual"/>
              </w:rPr>
              <w:t>Rând și coloană</w:t>
            </w:r>
          </w:p>
        </w:tc>
        <w:tc>
          <w:tcPr>
            <w:tcW w:w="8364" w:type="dxa"/>
            <w:shd w:val="clear" w:color="auto" w:fill="E7E6E6" w:themeFill="background2"/>
          </w:tcPr>
          <w:p w14:paraId="02F8EECF" w14:textId="77777777" w:rsidR="00E067BD" w:rsidRPr="000F57AA" w:rsidRDefault="00E067BD" w:rsidP="00E34096">
            <w:pPr>
              <w:ind w:right="90"/>
              <w:rPr>
                <w:sz w:val="22"/>
                <w:szCs w:val="22"/>
                <w:lang w:val="ro-RO" w:eastAsia="ru-RU"/>
                <w14:ligatures w14:val="standardContextual"/>
              </w:rPr>
            </w:pPr>
            <w:r w:rsidRPr="000F57AA">
              <w:rPr>
                <w:sz w:val="22"/>
                <w:szCs w:val="22"/>
                <w:lang w:val="ro-RO" w:eastAsia="ru-RU"/>
                <w14:ligatures w14:val="standardContextual"/>
              </w:rPr>
              <w:t>Instrucţiuni</w:t>
            </w:r>
          </w:p>
        </w:tc>
      </w:tr>
      <w:tr w:rsidR="00E067BD" w:rsidRPr="00A05A6A" w14:paraId="1F129C2A" w14:textId="77777777" w:rsidTr="00E34096">
        <w:trPr>
          <w:trHeight w:val="161"/>
        </w:trPr>
        <w:tc>
          <w:tcPr>
            <w:tcW w:w="1129" w:type="dxa"/>
          </w:tcPr>
          <w:p w14:paraId="279847FB" w14:textId="77777777" w:rsidR="00E067BD" w:rsidRPr="000F57AA" w:rsidRDefault="00E067BD" w:rsidP="00E34096">
            <w:pPr>
              <w:ind w:right="90"/>
              <w:rPr>
                <w:sz w:val="22"/>
                <w:szCs w:val="22"/>
                <w:lang w:val="ro-RO" w:eastAsia="ru-RU"/>
                <w14:ligatures w14:val="standardContextual"/>
              </w:rPr>
            </w:pPr>
            <w:r w:rsidRPr="000F57AA">
              <w:rPr>
                <w:sz w:val="22"/>
                <w:szCs w:val="22"/>
                <w:lang w:val="ro-RO" w:eastAsia="ru-RU"/>
                <w14:ligatures w14:val="standardContextual"/>
              </w:rPr>
              <w:t>{0010;0010}</w:t>
            </w:r>
          </w:p>
        </w:tc>
        <w:tc>
          <w:tcPr>
            <w:tcW w:w="8364" w:type="dxa"/>
          </w:tcPr>
          <w:p w14:paraId="51068806" w14:textId="77777777" w:rsidR="00E067BD" w:rsidRPr="000F57AA" w:rsidRDefault="00E067BD" w:rsidP="00E067BD">
            <w:pPr>
              <w:ind w:right="90" w:firstLine="456"/>
              <w:rPr>
                <w:b/>
                <w:bCs/>
                <w:sz w:val="22"/>
                <w:szCs w:val="22"/>
                <w:lang w:val="ro-RO" w:eastAsia="ru-RU"/>
                <w14:ligatures w14:val="standardContextual"/>
              </w:rPr>
            </w:pPr>
            <w:r w:rsidRPr="000F57AA">
              <w:rPr>
                <w:b/>
                <w:bCs/>
                <w:sz w:val="22"/>
                <w:szCs w:val="22"/>
                <w:lang w:val="ro-RO" w:eastAsia="ru-RU"/>
                <w14:ligatures w14:val="standardContextual"/>
              </w:rPr>
              <w:t xml:space="preserve">Data de referinţă din cadrul perioadei de raportare </w:t>
            </w:r>
          </w:p>
          <w:p w14:paraId="713F28F1" w14:textId="2F07F4B0" w:rsidR="00E067BD" w:rsidRPr="000F57AA" w:rsidRDefault="00E067BD" w:rsidP="00E067BD">
            <w:pPr>
              <w:ind w:right="90" w:firstLine="456"/>
              <w:rPr>
                <w:sz w:val="22"/>
                <w:szCs w:val="22"/>
                <w:lang w:val="ro-RO" w:eastAsia="ru-RU"/>
                <w14:ligatures w14:val="standardContextual"/>
              </w:rPr>
            </w:pPr>
            <w:r w:rsidRPr="000F57AA">
              <w:rPr>
                <w:sz w:val="22"/>
                <w:szCs w:val="22"/>
                <w:lang w:val="ro-RO" w:eastAsia="ru-RU"/>
                <w14:ligatures w14:val="standardContextual"/>
              </w:rPr>
              <w:t>Băncile raportează data la care se referă valoarea zilnică raportată. Se raportează valoarea pentru fiecare zi</w:t>
            </w:r>
            <w:r w:rsidR="009C2A62" w:rsidRPr="000F57AA">
              <w:rPr>
                <w:sz w:val="22"/>
                <w:szCs w:val="22"/>
                <w:lang w:val="ro-RO" w:eastAsia="ru-RU"/>
                <w14:ligatures w14:val="standardContextual"/>
              </w:rPr>
              <w:t xml:space="preserve"> lucrătoare</w:t>
            </w:r>
            <w:r w:rsidRPr="000F57AA">
              <w:rPr>
                <w:sz w:val="22"/>
                <w:szCs w:val="22"/>
                <w:lang w:val="ro-RO" w:eastAsia="ru-RU"/>
                <w14:ligatures w14:val="standardContextual"/>
              </w:rPr>
              <w:t xml:space="preserve"> a trimestrului de raportare.</w:t>
            </w:r>
          </w:p>
        </w:tc>
      </w:tr>
      <w:tr w:rsidR="00E067BD" w:rsidRPr="00A05A6A" w14:paraId="3D83C0F7" w14:textId="77777777" w:rsidTr="00E34096">
        <w:trPr>
          <w:trHeight w:val="161"/>
        </w:trPr>
        <w:tc>
          <w:tcPr>
            <w:tcW w:w="1129" w:type="dxa"/>
          </w:tcPr>
          <w:p w14:paraId="17C7A537" w14:textId="1140B837" w:rsidR="00E067BD" w:rsidRPr="000F57AA" w:rsidRDefault="00E067BD" w:rsidP="00E067BD">
            <w:pPr>
              <w:ind w:right="90"/>
              <w:rPr>
                <w:sz w:val="22"/>
                <w:szCs w:val="22"/>
                <w:lang w:val="ro-RO" w:eastAsia="ru-RU"/>
                <w14:ligatures w14:val="standardContextual"/>
              </w:rPr>
            </w:pPr>
            <w:r w:rsidRPr="000F57AA">
              <w:rPr>
                <w:sz w:val="22"/>
                <w:szCs w:val="22"/>
                <w:lang w:val="ro-RO"/>
              </w:rPr>
              <w:t>{0010;0020}</w:t>
            </w:r>
          </w:p>
        </w:tc>
        <w:tc>
          <w:tcPr>
            <w:tcW w:w="8364" w:type="dxa"/>
          </w:tcPr>
          <w:p w14:paraId="20424EC5" w14:textId="77777777" w:rsidR="00E067BD" w:rsidRPr="000F57AA" w:rsidRDefault="00E067BD" w:rsidP="00E067BD">
            <w:pPr>
              <w:ind w:right="90" w:firstLine="456"/>
              <w:rPr>
                <w:b/>
                <w:bCs/>
                <w:sz w:val="22"/>
                <w:szCs w:val="22"/>
                <w:lang w:val="ro-RO"/>
              </w:rPr>
            </w:pPr>
            <w:r w:rsidRPr="000F57AA">
              <w:rPr>
                <w:b/>
                <w:bCs/>
                <w:sz w:val="22"/>
                <w:szCs w:val="22"/>
                <w:lang w:val="ro-RO"/>
              </w:rPr>
              <w:t xml:space="preserve">Valoarea expunerilor aferente SFT-urilor </w:t>
            </w:r>
          </w:p>
          <w:p w14:paraId="611A0020" w14:textId="3281C1E9" w:rsidR="00E067BD" w:rsidRPr="000F57AA" w:rsidRDefault="00E067BD" w:rsidP="00E067BD">
            <w:pPr>
              <w:ind w:right="90" w:firstLine="456"/>
              <w:rPr>
                <w:b/>
                <w:bCs/>
                <w:sz w:val="22"/>
                <w:szCs w:val="22"/>
                <w:lang w:val="ro-RO" w:eastAsia="ru-RU"/>
                <w14:ligatures w14:val="standardContextual"/>
              </w:rPr>
            </w:pPr>
            <w:r w:rsidRPr="000F57AA">
              <w:rPr>
                <w:sz w:val="22"/>
                <w:szCs w:val="22"/>
                <w:lang w:val="ro-RO"/>
              </w:rPr>
              <w:t>Băncile raportează valorile zilnice din cursul trimestrului de raportare ale expunerilor aferente SFT-urilor, fără segmentul CPC exclus din expunerile aferente tranzacţiilor compensate pentru clienţi, astfel cum sunt menţionate pe rândurile 0010 și 0050 din formularul C</w:t>
            </w:r>
            <w:r w:rsidR="00D10246" w:rsidRPr="000F57AA">
              <w:rPr>
                <w:sz w:val="22"/>
                <w:szCs w:val="22"/>
                <w:lang w:val="ro-RO"/>
              </w:rPr>
              <w:t xml:space="preserve"> </w:t>
            </w:r>
            <w:r w:rsidRPr="000F57AA">
              <w:rPr>
                <w:sz w:val="22"/>
                <w:szCs w:val="22"/>
                <w:lang w:val="ro-RO"/>
              </w:rPr>
              <w:t>47.00.</w:t>
            </w:r>
          </w:p>
        </w:tc>
      </w:tr>
      <w:tr w:rsidR="00E067BD" w:rsidRPr="00A05A6A" w14:paraId="69590665" w14:textId="77777777" w:rsidTr="00E34096">
        <w:trPr>
          <w:trHeight w:val="161"/>
        </w:trPr>
        <w:tc>
          <w:tcPr>
            <w:tcW w:w="1129" w:type="dxa"/>
          </w:tcPr>
          <w:p w14:paraId="2F9FD45A" w14:textId="7BA041A4" w:rsidR="00E067BD" w:rsidRPr="000F57AA" w:rsidRDefault="00E067BD" w:rsidP="00E067BD">
            <w:pPr>
              <w:ind w:right="90"/>
              <w:rPr>
                <w:sz w:val="22"/>
                <w:szCs w:val="22"/>
                <w:lang w:val="ro-RO" w:eastAsia="ru-RU"/>
                <w14:ligatures w14:val="standardContextual"/>
              </w:rPr>
            </w:pPr>
            <w:r w:rsidRPr="000F57AA">
              <w:rPr>
                <w:sz w:val="22"/>
                <w:szCs w:val="22"/>
                <w:lang w:val="ro-RO"/>
              </w:rPr>
              <w:t>{0010;0030}</w:t>
            </w:r>
          </w:p>
        </w:tc>
        <w:tc>
          <w:tcPr>
            <w:tcW w:w="8364" w:type="dxa"/>
          </w:tcPr>
          <w:p w14:paraId="4E032A09" w14:textId="77777777" w:rsidR="00E067BD" w:rsidRPr="000F57AA" w:rsidRDefault="00E067BD" w:rsidP="00E067BD">
            <w:pPr>
              <w:ind w:right="90" w:firstLine="456"/>
              <w:rPr>
                <w:b/>
                <w:bCs/>
                <w:sz w:val="22"/>
                <w:szCs w:val="22"/>
                <w:lang w:val="ro-RO"/>
              </w:rPr>
            </w:pPr>
            <w:r w:rsidRPr="000F57AA">
              <w:rPr>
                <w:b/>
                <w:bCs/>
                <w:sz w:val="22"/>
                <w:szCs w:val="22"/>
                <w:lang w:val="ro-RO"/>
              </w:rPr>
              <w:t xml:space="preserve">Ajustări pentru tranzacţiile contabilizate ca vânzări de SFT-uri </w:t>
            </w:r>
          </w:p>
          <w:p w14:paraId="21A245B5" w14:textId="0DB7D276" w:rsidR="00E067BD" w:rsidRPr="000F57AA" w:rsidRDefault="00E067BD" w:rsidP="00E067BD">
            <w:pPr>
              <w:ind w:right="90" w:firstLine="456"/>
              <w:rPr>
                <w:b/>
                <w:bCs/>
                <w:sz w:val="22"/>
                <w:szCs w:val="22"/>
                <w:lang w:val="ro-RO" w:eastAsia="ru-RU"/>
                <w14:ligatures w14:val="standardContextual"/>
              </w:rPr>
            </w:pPr>
            <w:r w:rsidRPr="000F57AA">
              <w:rPr>
                <w:sz w:val="22"/>
                <w:szCs w:val="22"/>
                <w:lang w:val="ro-RO"/>
              </w:rPr>
              <w:t>Băncile raportează valorile zilnice din cursul trimestrului de raportare ale ajustărilor pentru tranzacţiile contabilizate ca vânzări de SFT-uri, astfel cum sunt definite pe rândul 0230 din formularul C</w:t>
            </w:r>
            <w:r w:rsidR="00D10246" w:rsidRPr="000F57AA">
              <w:rPr>
                <w:sz w:val="22"/>
                <w:szCs w:val="22"/>
                <w:lang w:val="ro-RO"/>
              </w:rPr>
              <w:t xml:space="preserve"> </w:t>
            </w:r>
            <w:r w:rsidRPr="000F57AA">
              <w:rPr>
                <w:sz w:val="22"/>
                <w:szCs w:val="22"/>
                <w:lang w:val="ro-RO"/>
              </w:rPr>
              <w:t>47.00.</w:t>
            </w:r>
          </w:p>
        </w:tc>
      </w:tr>
    </w:tbl>
    <w:p w14:paraId="153C5C77" w14:textId="77777777" w:rsidR="00E067BD" w:rsidRPr="000F57AA" w:rsidRDefault="00E067BD" w:rsidP="00E067BD">
      <w:pPr>
        <w:spacing w:after="0"/>
        <w:ind w:firstLine="708"/>
        <w:rPr>
          <w:rFonts w:ascii="Times New Roman" w:eastAsia="Times New Roman" w:hAnsi="Times New Roman" w:cs="Times New Roman"/>
          <w:lang w:val="ro-RO"/>
        </w:rPr>
      </w:pPr>
    </w:p>
    <w:p w14:paraId="3F0D84E6" w14:textId="5890AE4A" w:rsidR="005E4E22" w:rsidRPr="000F57AA" w:rsidRDefault="005E4E22" w:rsidP="005E4E2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b/>
          <w:bCs/>
          <w:lang w:val="ro-RO"/>
        </w:rPr>
        <w:t>2.</w:t>
      </w:r>
      <w:r w:rsidRPr="000F57AA">
        <w:rPr>
          <w:rFonts w:ascii="Times New Roman" w:eastAsia="Times New Roman" w:hAnsi="Times New Roman" w:cs="Times New Roman"/>
          <w:lang w:val="ro-RO"/>
        </w:rPr>
        <w:t xml:space="preserve"> Pct.1 din prezenta hotărâre intră în vigoare la 1 ianuarie 2026.</w:t>
      </w:r>
    </w:p>
    <w:p w14:paraId="04B03FEE" w14:textId="77777777" w:rsidR="005E4E22" w:rsidRPr="000F57AA" w:rsidRDefault="005E4E22" w:rsidP="005E4E2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 </w:t>
      </w:r>
    </w:p>
    <w:p w14:paraId="78912ECD" w14:textId="6B2C7705" w:rsidR="005E4E22" w:rsidRPr="000F57AA" w:rsidRDefault="005E4E22" w:rsidP="005E4E2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b/>
          <w:bCs/>
          <w:lang w:val="ro-RO"/>
        </w:rPr>
        <w:t>3.</w:t>
      </w:r>
      <w:r w:rsidRPr="000F57AA">
        <w:rPr>
          <w:rFonts w:ascii="Times New Roman" w:eastAsia="Times New Roman" w:hAnsi="Times New Roman" w:cs="Times New Roman"/>
          <w:lang w:val="ro-RO"/>
        </w:rPr>
        <w:t xml:space="preserve"> Prima prezentare a rapoartelor menţionate la punctul 20 din Instrucţiunea cu privire la prezentarea de către bănci a rapoartelor COREP în scopuri de supraveghere, aprobată prin Hotărârea Comitetului executiv al Băncii Naţionale a Moldovei nr.117/2018 se va efectua pentru situaţia din 31 </w:t>
      </w:r>
      <w:r w:rsidR="00F136D6" w:rsidRPr="000F57AA">
        <w:rPr>
          <w:rFonts w:ascii="Times New Roman" w:eastAsia="Times New Roman" w:hAnsi="Times New Roman" w:cs="Times New Roman"/>
          <w:lang w:val="ro-RO"/>
        </w:rPr>
        <w:t>martie 2026</w:t>
      </w:r>
      <w:r w:rsidRPr="000F57AA">
        <w:rPr>
          <w:rFonts w:ascii="Times New Roman" w:eastAsia="Times New Roman" w:hAnsi="Times New Roman" w:cs="Times New Roman"/>
          <w:lang w:val="ro-RO"/>
        </w:rPr>
        <w:t>.</w:t>
      </w:r>
    </w:p>
    <w:p w14:paraId="74BD6827" w14:textId="77777777" w:rsidR="005E4E22" w:rsidRPr="000F57AA" w:rsidRDefault="005E4E22" w:rsidP="005E4E22">
      <w:pPr>
        <w:spacing w:after="0"/>
        <w:ind w:firstLine="708"/>
        <w:rPr>
          <w:rFonts w:ascii="Times New Roman" w:eastAsia="Times New Roman" w:hAnsi="Times New Roman" w:cs="Times New Roman"/>
          <w:lang w:val="ro-RO"/>
        </w:rPr>
      </w:pPr>
      <w:r w:rsidRPr="000F57AA">
        <w:rPr>
          <w:rFonts w:ascii="Times New Roman" w:eastAsia="Times New Roman" w:hAnsi="Times New Roman" w:cs="Times New Roman"/>
          <w:lang w:val="ro-RO"/>
        </w:rPr>
        <w:t xml:space="preserve"> </w:t>
      </w:r>
    </w:p>
    <w:p w14:paraId="27D7F580" w14:textId="77777777" w:rsidR="005E4E22" w:rsidRPr="000F57AA" w:rsidRDefault="005E4E22" w:rsidP="00E067BD">
      <w:pPr>
        <w:spacing w:after="0"/>
        <w:ind w:firstLine="708"/>
        <w:rPr>
          <w:rFonts w:ascii="Times New Roman" w:eastAsia="Times New Roman" w:hAnsi="Times New Roman" w:cs="Times New Roman"/>
          <w:lang w:val="ro-RO"/>
        </w:rPr>
      </w:pPr>
    </w:p>
    <w:sectPr w:rsidR="005E4E22" w:rsidRPr="000F57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D00F" w14:textId="77777777" w:rsidR="00E9431F" w:rsidRDefault="00E9431F" w:rsidP="00E9431F">
      <w:pPr>
        <w:spacing w:after="0" w:line="240" w:lineRule="auto"/>
      </w:pPr>
      <w:r>
        <w:separator/>
      </w:r>
    </w:p>
  </w:endnote>
  <w:endnote w:type="continuationSeparator" w:id="0">
    <w:p w14:paraId="6BB092FC" w14:textId="77777777" w:rsidR="00E9431F" w:rsidRDefault="00E9431F" w:rsidP="00E9431F">
      <w:pPr>
        <w:spacing w:after="0" w:line="240" w:lineRule="auto"/>
      </w:pPr>
      <w:r>
        <w:continuationSeparator/>
      </w:r>
    </w:p>
  </w:endnote>
  <w:endnote w:type="continuationNotice" w:id="1">
    <w:p w14:paraId="5A19319A" w14:textId="77777777" w:rsidR="00F21824" w:rsidRDefault="00F21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0D9E" w14:textId="07CF7E5B" w:rsidR="00E9431F" w:rsidRDefault="00E9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15909"/>
      <w:docPartObj>
        <w:docPartGallery w:val="Page Numbers (Bottom of Page)"/>
        <w:docPartUnique/>
      </w:docPartObj>
    </w:sdtPr>
    <w:sdtEndPr>
      <w:rPr>
        <w:noProof/>
      </w:rPr>
    </w:sdtEndPr>
    <w:sdtContent>
      <w:p w14:paraId="5985AA74" w14:textId="113DFD60" w:rsidR="003D4F78" w:rsidRDefault="003D4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8B439" w14:textId="459E007E" w:rsidR="00E9431F" w:rsidRDefault="00E94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CCDC" w14:textId="10C8F0ED" w:rsidR="00E9431F" w:rsidRDefault="00E9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4C1E" w14:textId="77777777" w:rsidR="00E9431F" w:rsidRDefault="00E9431F" w:rsidP="00E9431F">
      <w:pPr>
        <w:spacing w:after="0" w:line="240" w:lineRule="auto"/>
      </w:pPr>
      <w:r>
        <w:separator/>
      </w:r>
    </w:p>
  </w:footnote>
  <w:footnote w:type="continuationSeparator" w:id="0">
    <w:p w14:paraId="205B4BCA" w14:textId="77777777" w:rsidR="00E9431F" w:rsidRDefault="00E9431F" w:rsidP="00E9431F">
      <w:pPr>
        <w:spacing w:after="0" w:line="240" w:lineRule="auto"/>
      </w:pPr>
      <w:r>
        <w:continuationSeparator/>
      </w:r>
    </w:p>
  </w:footnote>
  <w:footnote w:type="continuationNotice" w:id="1">
    <w:p w14:paraId="1D7E8668" w14:textId="77777777" w:rsidR="00F21824" w:rsidRDefault="00F21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F99A" w14:textId="600DE9A3" w:rsidR="00E9431F" w:rsidRDefault="00E9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7600" w14:textId="6174FCAA" w:rsidR="00E9431F" w:rsidRDefault="00E94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EC67" w14:textId="2CFC2DC7" w:rsidR="00E9431F" w:rsidRDefault="00E9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F606C"/>
    <w:multiLevelType w:val="hybridMultilevel"/>
    <w:tmpl w:val="C8CCB010"/>
    <w:lvl w:ilvl="0" w:tplc="A684C492">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40445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6F"/>
    <w:rsid w:val="00000C54"/>
    <w:rsid w:val="00004D14"/>
    <w:rsid w:val="00005884"/>
    <w:rsid w:val="00007336"/>
    <w:rsid w:val="00017352"/>
    <w:rsid w:val="000220AD"/>
    <w:rsid w:val="00026DDE"/>
    <w:rsid w:val="00032B22"/>
    <w:rsid w:val="00042C6E"/>
    <w:rsid w:val="00045154"/>
    <w:rsid w:val="0004614D"/>
    <w:rsid w:val="00053EB9"/>
    <w:rsid w:val="000622EF"/>
    <w:rsid w:val="00065826"/>
    <w:rsid w:val="0009066E"/>
    <w:rsid w:val="0009183C"/>
    <w:rsid w:val="000946D7"/>
    <w:rsid w:val="000A09EC"/>
    <w:rsid w:val="000A3435"/>
    <w:rsid w:val="000A4235"/>
    <w:rsid w:val="000D0362"/>
    <w:rsid w:val="000E765A"/>
    <w:rsid w:val="000F57AA"/>
    <w:rsid w:val="000F6CEF"/>
    <w:rsid w:val="00116A77"/>
    <w:rsid w:val="00117969"/>
    <w:rsid w:val="00121926"/>
    <w:rsid w:val="00127197"/>
    <w:rsid w:val="00132D3B"/>
    <w:rsid w:val="001368EB"/>
    <w:rsid w:val="001369AE"/>
    <w:rsid w:val="001419D2"/>
    <w:rsid w:val="00142398"/>
    <w:rsid w:val="0014450E"/>
    <w:rsid w:val="00186ADA"/>
    <w:rsid w:val="00195E8D"/>
    <w:rsid w:val="001967CF"/>
    <w:rsid w:val="00197ADD"/>
    <w:rsid w:val="001A0263"/>
    <w:rsid w:val="001A1242"/>
    <w:rsid w:val="001A325C"/>
    <w:rsid w:val="001B2474"/>
    <w:rsid w:val="001B2959"/>
    <w:rsid w:val="001B57B6"/>
    <w:rsid w:val="001C22DB"/>
    <w:rsid w:val="001C3985"/>
    <w:rsid w:val="001C519F"/>
    <w:rsid w:val="001C59CA"/>
    <w:rsid w:val="001C75FC"/>
    <w:rsid w:val="001F2C3D"/>
    <w:rsid w:val="001F3E19"/>
    <w:rsid w:val="001F75F9"/>
    <w:rsid w:val="00212155"/>
    <w:rsid w:val="00214280"/>
    <w:rsid w:val="002146E2"/>
    <w:rsid w:val="00225711"/>
    <w:rsid w:val="0022663F"/>
    <w:rsid w:val="002341DF"/>
    <w:rsid w:val="00234A1E"/>
    <w:rsid w:val="00235AD3"/>
    <w:rsid w:val="00241B95"/>
    <w:rsid w:val="00242D19"/>
    <w:rsid w:val="00244ED5"/>
    <w:rsid w:val="002465FC"/>
    <w:rsid w:val="00246FE9"/>
    <w:rsid w:val="00261484"/>
    <w:rsid w:val="0026291A"/>
    <w:rsid w:val="0026553F"/>
    <w:rsid w:val="0027705E"/>
    <w:rsid w:val="00277BFE"/>
    <w:rsid w:val="002808AB"/>
    <w:rsid w:val="002827E0"/>
    <w:rsid w:val="0028359D"/>
    <w:rsid w:val="00287D6B"/>
    <w:rsid w:val="00291B26"/>
    <w:rsid w:val="002A6895"/>
    <w:rsid w:val="002B2858"/>
    <w:rsid w:val="002B36BC"/>
    <w:rsid w:val="002C170C"/>
    <w:rsid w:val="002E5C16"/>
    <w:rsid w:val="002F1935"/>
    <w:rsid w:val="002F55C1"/>
    <w:rsid w:val="002F6EC5"/>
    <w:rsid w:val="003016D6"/>
    <w:rsid w:val="00305AE7"/>
    <w:rsid w:val="003143AC"/>
    <w:rsid w:val="003229FF"/>
    <w:rsid w:val="00334D98"/>
    <w:rsid w:val="00346A2F"/>
    <w:rsid w:val="00355553"/>
    <w:rsid w:val="00365697"/>
    <w:rsid w:val="00371FD6"/>
    <w:rsid w:val="003739DF"/>
    <w:rsid w:val="003742A3"/>
    <w:rsid w:val="00376809"/>
    <w:rsid w:val="00377F2F"/>
    <w:rsid w:val="00380DED"/>
    <w:rsid w:val="00381D5A"/>
    <w:rsid w:val="00382980"/>
    <w:rsid w:val="003833FA"/>
    <w:rsid w:val="00383D20"/>
    <w:rsid w:val="00384192"/>
    <w:rsid w:val="00390762"/>
    <w:rsid w:val="003C646A"/>
    <w:rsid w:val="003D3B98"/>
    <w:rsid w:val="003D4F78"/>
    <w:rsid w:val="003F2B6C"/>
    <w:rsid w:val="00425C3F"/>
    <w:rsid w:val="00427EF5"/>
    <w:rsid w:val="0043115C"/>
    <w:rsid w:val="0043336F"/>
    <w:rsid w:val="004361AA"/>
    <w:rsid w:val="004363EE"/>
    <w:rsid w:val="004367C8"/>
    <w:rsid w:val="00444800"/>
    <w:rsid w:val="0045332B"/>
    <w:rsid w:val="004567AB"/>
    <w:rsid w:val="00463AEB"/>
    <w:rsid w:val="004A1605"/>
    <w:rsid w:val="004A1AB2"/>
    <w:rsid w:val="004B1D53"/>
    <w:rsid w:val="004D2890"/>
    <w:rsid w:val="004D751A"/>
    <w:rsid w:val="004D7D82"/>
    <w:rsid w:val="004E0097"/>
    <w:rsid w:val="004F42C1"/>
    <w:rsid w:val="004F6977"/>
    <w:rsid w:val="004F7791"/>
    <w:rsid w:val="00502974"/>
    <w:rsid w:val="005104E0"/>
    <w:rsid w:val="00512628"/>
    <w:rsid w:val="00520CE6"/>
    <w:rsid w:val="00536659"/>
    <w:rsid w:val="00536A05"/>
    <w:rsid w:val="00550E11"/>
    <w:rsid w:val="005523A3"/>
    <w:rsid w:val="00561B99"/>
    <w:rsid w:val="00562345"/>
    <w:rsid w:val="00571A9B"/>
    <w:rsid w:val="00577D1A"/>
    <w:rsid w:val="00584C73"/>
    <w:rsid w:val="00590907"/>
    <w:rsid w:val="005A17F7"/>
    <w:rsid w:val="005A53B9"/>
    <w:rsid w:val="005B0415"/>
    <w:rsid w:val="005B1D0E"/>
    <w:rsid w:val="005C0D18"/>
    <w:rsid w:val="005D1F70"/>
    <w:rsid w:val="005E149B"/>
    <w:rsid w:val="005E4E22"/>
    <w:rsid w:val="005F1FEC"/>
    <w:rsid w:val="005F3CCE"/>
    <w:rsid w:val="005F570F"/>
    <w:rsid w:val="006041EB"/>
    <w:rsid w:val="00606181"/>
    <w:rsid w:val="0061083C"/>
    <w:rsid w:val="0062415B"/>
    <w:rsid w:val="00630966"/>
    <w:rsid w:val="00634959"/>
    <w:rsid w:val="00637432"/>
    <w:rsid w:val="00652989"/>
    <w:rsid w:val="00656776"/>
    <w:rsid w:val="00660996"/>
    <w:rsid w:val="006632A3"/>
    <w:rsid w:val="00672EEA"/>
    <w:rsid w:val="00673D8E"/>
    <w:rsid w:val="0069536E"/>
    <w:rsid w:val="006A6A8D"/>
    <w:rsid w:val="006C0CE7"/>
    <w:rsid w:val="006C484D"/>
    <w:rsid w:val="006D2249"/>
    <w:rsid w:val="006D35B8"/>
    <w:rsid w:val="006D66D6"/>
    <w:rsid w:val="006D7A45"/>
    <w:rsid w:val="006D7B82"/>
    <w:rsid w:val="006E118D"/>
    <w:rsid w:val="006E3D35"/>
    <w:rsid w:val="006F1953"/>
    <w:rsid w:val="007177D4"/>
    <w:rsid w:val="00717FB0"/>
    <w:rsid w:val="00721A92"/>
    <w:rsid w:val="007342C4"/>
    <w:rsid w:val="00737EEC"/>
    <w:rsid w:val="007435C4"/>
    <w:rsid w:val="00755F25"/>
    <w:rsid w:val="00756861"/>
    <w:rsid w:val="00770CD7"/>
    <w:rsid w:val="00771606"/>
    <w:rsid w:val="0077559D"/>
    <w:rsid w:val="00776007"/>
    <w:rsid w:val="00780EE2"/>
    <w:rsid w:val="007820A8"/>
    <w:rsid w:val="007823B8"/>
    <w:rsid w:val="00785BF1"/>
    <w:rsid w:val="007A747A"/>
    <w:rsid w:val="007B56AA"/>
    <w:rsid w:val="007C02BA"/>
    <w:rsid w:val="007C155F"/>
    <w:rsid w:val="007D1E2B"/>
    <w:rsid w:val="007D4738"/>
    <w:rsid w:val="007D6D63"/>
    <w:rsid w:val="007D6FB2"/>
    <w:rsid w:val="007E30C0"/>
    <w:rsid w:val="007E5FC8"/>
    <w:rsid w:val="008005DC"/>
    <w:rsid w:val="00801E3C"/>
    <w:rsid w:val="00802733"/>
    <w:rsid w:val="00804BC2"/>
    <w:rsid w:val="00816B98"/>
    <w:rsid w:val="00824BD4"/>
    <w:rsid w:val="00833F6F"/>
    <w:rsid w:val="00835E8E"/>
    <w:rsid w:val="0084044E"/>
    <w:rsid w:val="008408DB"/>
    <w:rsid w:val="00841B18"/>
    <w:rsid w:val="00850689"/>
    <w:rsid w:val="00855350"/>
    <w:rsid w:val="0085798E"/>
    <w:rsid w:val="00860E90"/>
    <w:rsid w:val="00874F7F"/>
    <w:rsid w:val="008822C1"/>
    <w:rsid w:val="00890096"/>
    <w:rsid w:val="00891FF0"/>
    <w:rsid w:val="0089487B"/>
    <w:rsid w:val="008A7394"/>
    <w:rsid w:val="008C2F6F"/>
    <w:rsid w:val="008C3F2B"/>
    <w:rsid w:val="008D5FEB"/>
    <w:rsid w:val="008E4701"/>
    <w:rsid w:val="008F33D9"/>
    <w:rsid w:val="008F526A"/>
    <w:rsid w:val="00905DF7"/>
    <w:rsid w:val="0090782D"/>
    <w:rsid w:val="00907F17"/>
    <w:rsid w:val="009110A8"/>
    <w:rsid w:val="00913DC0"/>
    <w:rsid w:val="00914E0D"/>
    <w:rsid w:val="009153FB"/>
    <w:rsid w:val="009270A2"/>
    <w:rsid w:val="0093191B"/>
    <w:rsid w:val="009401ED"/>
    <w:rsid w:val="00943A1D"/>
    <w:rsid w:val="00950C6C"/>
    <w:rsid w:val="009559D0"/>
    <w:rsid w:val="0096194B"/>
    <w:rsid w:val="00961DD6"/>
    <w:rsid w:val="00962699"/>
    <w:rsid w:val="00962FAB"/>
    <w:rsid w:val="009645CF"/>
    <w:rsid w:val="00964A70"/>
    <w:rsid w:val="00965EC5"/>
    <w:rsid w:val="00966F22"/>
    <w:rsid w:val="00970CA2"/>
    <w:rsid w:val="009801C2"/>
    <w:rsid w:val="00983B56"/>
    <w:rsid w:val="00991E2C"/>
    <w:rsid w:val="009921F8"/>
    <w:rsid w:val="00995886"/>
    <w:rsid w:val="009A2A7E"/>
    <w:rsid w:val="009A4D75"/>
    <w:rsid w:val="009A5427"/>
    <w:rsid w:val="009B2F5F"/>
    <w:rsid w:val="009B527F"/>
    <w:rsid w:val="009B574B"/>
    <w:rsid w:val="009C007F"/>
    <w:rsid w:val="009C100C"/>
    <w:rsid w:val="009C2A62"/>
    <w:rsid w:val="009D5A35"/>
    <w:rsid w:val="009E31B0"/>
    <w:rsid w:val="009E641F"/>
    <w:rsid w:val="009E6612"/>
    <w:rsid w:val="009E6BF6"/>
    <w:rsid w:val="009F1833"/>
    <w:rsid w:val="009F2742"/>
    <w:rsid w:val="009F6403"/>
    <w:rsid w:val="00A011DC"/>
    <w:rsid w:val="00A039BF"/>
    <w:rsid w:val="00A05288"/>
    <w:rsid w:val="00A05A6A"/>
    <w:rsid w:val="00A11F69"/>
    <w:rsid w:val="00A27704"/>
    <w:rsid w:val="00A30B4F"/>
    <w:rsid w:val="00A474EC"/>
    <w:rsid w:val="00A47A2B"/>
    <w:rsid w:val="00A664AA"/>
    <w:rsid w:val="00A72ED0"/>
    <w:rsid w:val="00A74056"/>
    <w:rsid w:val="00A75BB4"/>
    <w:rsid w:val="00A76444"/>
    <w:rsid w:val="00A90158"/>
    <w:rsid w:val="00A97E16"/>
    <w:rsid w:val="00AA00F6"/>
    <w:rsid w:val="00AC1E7C"/>
    <w:rsid w:val="00AC3301"/>
    <w:rsid w:val="00AF5BBA"/>
    <w:rsid w:val="00B05BEB"/>
    <w:rsid w:val="00B0789A"/>
    <w:rsid w:val="00B07FC6"/>
    <w:rsid w:val="00B12C0C"/>
    <w:rsid w:val="00B1550C"/>
    <w:rsid w:val="00B24353"/>
    <w:rsid w:val="00B35BB0"/>
    <w:rsid w:val="00B430B0"/>
    <w:rsid w:val="00B651B9"/>
    <w:rsid w:val="00B65ABB"/>
    <w:rsid w:val="00B727AB"/>
    <w:rsid w:val="00B8098E"/>
    <w:rsid w:val="00B81DC1"/>
    <w:rsid w:val="00B8263F"/>
    <w:rsid w:val="00B923A6"/>
    <w:rsid w:val="00B92868"/>
    <w:rsid w:val="00BB16A3"/>
    <w:rsid w:val="00BB225B"/>
    <w:rsid w:val="00BB28E7"/>
    <w:rsid w:val="00BC0B0F"/>
    <w:rsid w:val="00BD0D4E"/>
    <w:rsid w:val="00BD4A91"/>
    <w:rsid w:val="00BE4AF8"/>
    <w:rsid w:val="00BE78F7"/>
    <w:rsid w:val="00C00357"/>
    <w:rsid w:val="00C074D8"/>
    <w:rsid w:val="00C20026"/>
    <w:rsid w:val="00C215E9"/>
    <w:rsid w:val="00C2417E"/>
    <w:rsid w:val="00C3186D"/>
    <w:rsid w:val="00C351A5"/>
    <w:rsid w:val="00C40DAF"/>
    <w:rsid w:val="00C46FBE"/>
    <w:rsid w:val="00C505DF"/>
    <w:rsid w:val="00C52A37"/>
    <w:rsid w:val="00C748A7"/>
    <w:rsid w:val="00C85A50"/>
    <w:rsid w:val="00C85A76"/>
    <w:rsid w:val="00C92716"/>
    <w:rsid w:val="00C97069"/>
    <w:rsid w:val="00CA3CA6"/>
    <w:rsid w:val="00CB72B9"/>
    <w:rsid w:val="00CC2E8F"/>
    <w:rsid w:val="00CC3083"/>
    <w:rsid w:val="00CC3BE3"/>
    <w:rsid w:val="00CC764E"/>
    <w:rsid w:val="00CC7AC6"/>
    <w:rsid w:val="00CD7708"/>
    <w:rsid w:val="00CE2480"/>
    <w:rsid w:val="00CE7155"/>
    <w:rsid w:val="00D012B6"/>
    <w:rsid w:val="00D01C86"/>
    <w:rsid w:val="00D02BA9"/>
    <w:rsid w:val="00D03B29"/>
    <w:rsid w:val="00D053EC"/>
    <w:rsid w:val="00D05DB8"/>
    <w:rsid w:val="00D06010"/>
    <w:rsid w:val="00D10246"/>
    <w:rsid w:val="00D13365"/>
    <w:rsid w:val="00D17F14"/>
    <w:rsid w:val="00D24630"/>
    <w:rsid w:val="00D271F6"/>
    <w:rsid w:val="00D27BBD"/>
    <w:rsid w:val="00D30D5D"/>
    <w:rsid w:val="00D35FE4"/>
    <w:rsid w:val="00D43E0F"/>
    <w:rsid w:val="00D50E26"/>
    <w:rsid w:val="00D51196"/>
    <w:rsid w:val="00D54C6D"/>
    <w:rsid w:val="00D54D38"/>
    <w:rsid w:val="00D55009"/>
    <w:rsid w:val="00D60C44"/>
    <w:rsid w:val="00D70695"/>
    <w:rsid w:val="00D81E11"/>
    <w:rsid w:val="00D87000"/>
    <w:rsid w:val="00D91847"/>
    <w:rsid w:val="00D9298D"/>
    <w:rsid w:val="00D94CFA"/>
    <w:rsid w:val="00D95160"/>
    <w:rsid w:val="00D96531"/>
    <w:rsid w:val="00DA43BB"/>
    <w:rsid w:val="00DB415B"/>
    <w:rsid w:val="00DB4CA6"/>
    <w:rsid w:val="00DB5E62"/>
    <w:rsid w:val="00DC3EB5"/>
    <w:rsid w:val="00DC4B73"/>
    <w:rsid w:val="00DF27DA"/>
    <w:rsid w:val="00E04E3D"/>
    <w:rsid w:val="00E067BD"/>
    <w:rsid w:val="00E11F1A"/>
    <w:rsid w:val="00E16AFA"/>
    <w:rsid w:val="00E20608"/>
    <w:rsid w:val="00E209CA"/>
    <w:rsid w:val="00E22390"/>
    <w:rsid w:val="00E30394"/>
    <w:rsid w:val="00E32CB8"/>
    <w:rsid w:val="00E32EC3"/>
    <w:rsid w:val="00E4101D"/>
    <w:rsid w:val="00E41326"/>
    <w:rsid w:val="00E41E05"/>
    <w:rsid w:val="00E62F61"/>
    <w:rsid w:val="00E64544"/>
    <w:rsid w:val="00E662FD"/>
    <w:rsid w:val="00E71696"/>
    <w:rsid w:val="00E71938"/>
    <w:rsid w:val="00E72B16"/>
    <w:rsid w:val="00E81225"/>
    <w:rsid w:val="00E81A67"/>
    <w:rsid w:val="00E84447"/>
    <w:rsid w:val="00E84EE5"/>
    <w:rsid w:val="00E92016"/>
    <w:rsid w:val="00E9431F"/>
    <w:rsid w:val="00E946A2"/>
    <w:rsid w:val="00EB461B"/>
    <w:rsid w:val="00EC4FF0"/>
    <w:rsid w:val="00EC63C2"/>
    <w:rsid w:val="00ED2DF0"/>
    <w:rsid w:val="00ED6CE8"/>
    <w:rsid w:val="00EE6746"/>
    <w:rsid w:val="00EF02C5"/>
    <w:rsid w:val="00EF4B59"/>
    <w:rsid w:val="00F062CB"/>
    <w:rsid w:val="00F10C0F"/>
    <w:rsid w:val="00F12EF7"/>
    <w:rsid w:val="00F136D6"/>
    <w:rsid w:val="00F15FC3"/>
    <w:rsid w:val="00F21824"/>
    <w:rsid w:val="00F24441"/>
    <w:rsid w:val="00F30272"/>
    <w:rsid w:val="00F3722C"/>
    <w:rsid w:val="00F4303B"/>
    <w:rsid w:val="00F436B4"/>
    <w:rsid w:val="00F4373E"/>
    <w:rsid w:val="00F451F6"/>
    <w:rsid w:val="00F554B9"/>
    <w:rsid w:val="00F5765F"/>
    <w:rsid w:val="00F64C26"/>
    <w:rsid w:val="00F6514C"/>
    <w:rsid w:val="00F6741D"/>
    <w:rsid w:val="00F850FD"/>
    <w:rsid w:val="00F916AE"/>
    <w:rsid w:val="00F91A0E"/>
    <w:rsid w:val="00F93FD7"/>
    <w:rsid w:val="00FA1A79"/>
    <w:rsid w:val="00FA1BFC"/>
    <w:rsid w:val="00FA2797"/>
    <w:rsid w:val="00FA5B54"/>
    <w:rsid w:val="00FC3741"/>
    <w:rsid w:val="00FC6FFF"/>
    <w:rsid w:val="00FD02A6"/>
    <w:rsid w:val="00FD21D1"/>
    <w:rsid w:val="00FE1A6B"/>
    <w:rsid w:val="00FE1A9B"/>
    <w:rsid w:val="00FE305E"/>
    <w:rsid w:val="00FE76D4"/>
    <w:rsid w:val="00FE7AD9"/>
    <w:rsid w:val="00FF74D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99261"/>
  <w15:chartTrackingRefBased/>
  <w15:docId w15:val="{F52460B7-4686-463C-807C-73EFA313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1F"/>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31F"/>
    <w:pPr>
      <w:tabs>
        <w:tab w:val="center" w:pos="4677"/>
        <w:tab w:val="right" w:pos="9355"/>
      </w:tabs>
      <w:spacing w:after="0" w:line="240" w:lineRule="auto"/>
    </w:pPr>
  </w:style>
  <w:style w:type="character" w:customStyle="1" w:styleId="HeaderChar">
    <w:name w:val="Header Char"/>
    <w:basedOn w:val="DefaultParagraphFont"/>
    <w:link w:val="Header"/>
    <w:uiPriority w:val="99"/>
    <w:rsid w:val="00E9431F"/>
  </w:style>
  <w:style w:type="paragraph" w:styleId="Footer">
    <w:name w:val="footer"/>
    <w:basedOn w:val="Normal"/>
    <w:link w:val="FooterChar"/>
    <w:uiPriority w:val="99"/>
    <w:unhideWhenUsed/>
    <w:rsid w:val="00E9431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9431F"/>
  </w:style>
  <w:style w:type="paragraph" w:styleId="ListParagraph">
    <w:name w:val="List Paragraph"/>
    <w:basedOn w:val="Normal"/>
    <w:uiPriority w:val="34"/>
    <w:qFormat/>
    <w:rsid w:val="00E9431F"/>
    <w:pPr>
      <w:ind w:left="720"/>
      <w:contextualSpacing/>
    </w:pPr>
  </w:style>
  <w:style w:type="paragraph" w:styleId="NoSpacing">
    <w:name w:val="No Spacing"/>
    <w:uiPriority w:val="1"/>
    <w:qFormat/>
    <w:rsid w:val="00E9431F"/>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444800"/>
    <w:rPr>
      <w:sz w:val="16"/>
      <w:szCs w:val="16"/>
    </w:rPr>
  </w:style>
  <w:style w:type="paragraph" w:styleId="CommentText">
    <w:name w:val="annotation text"/>
    <w:basedOn w:val="Normal"/>
    <w:link w:val="CommentTextChar"/>
    <w:uiPriority w:val="99"/>
    <w:unhideWhenUsed/>
    <w:rsid w:val="00444800"/>
    <w:pPr>
      <w:spacing w:line="240" w:lineRule="auto"/>
    </w:pPr>
    <w:rPr>
      <w:sz w:val="20"/>
      <w:szCs w:val="20"/>
    </w:rPr>
  </w:style>
  <w:style w:type="character" w:customStyle="1" w:styleId="CommentTextChar">
    <w:name w:val="Comment Text Char"/>
    <w:basedOn w:val="DefaultParagraphFont"/>
    <w:link w:val="CommentText"/>
    <w:uiPriority w:val="99"/>
    <w:rsid w:val="0044480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44800"/>
    <w:rPr>
      <w:b/>
      <w:bCs/>
    </w:rPr>
  </w:style>
  <w:style w:type="character" w:customStyle="1" w:styleId="CommentSubjectChar">
    <w:name w:val="Comment Subject Char"/>
    <w:basedOn w:val="CommentTextChar"/>
    <w:link w:val="CommentSubject"/>
    <w:uiPriority w:val="99"/>
    <w:semiHidden/>
    <w:rsid w:val="00444800"/>
    <w:rPr>
      <w:b/>
      <w:bCs/>
      <w:kern w:val="0"/>
      <w:sz w:val="20"/>
      <w:szCs w:val="20"/>
      <w:lang w:val="en-US"/>
      <w14:ligatures w14:val="none"/>
    </w:rPr>
  </w:style>
  <w:style w:type="paragraph" w:styleId="Revision">
    <w:name w:val="Revision"/>
    <w:hidden/>
    <w:uiPriority w:val="99"/>
    <w:semiHidden/>
    <w:rsid w:val="00780EE2"/>
    <w:pPr>
      <w:spacing w:after="0" w:line="240" w:lineRule="auto"/>
    </w:pPr>
    <w:rPr>
      <w:kern w:val="0"/>
      <w:lang w:val="en-US"/>
      <w14:ligatures w14:val="none"/>
    </w:rPr>
  </w:style>
  <w:style w:type="paragraph" w:styleId="PlainText">
    <w:name w:val="Plain Text"/>
    <w:basedOn w:val="Normal"/>
    <w:link w:val="PlainTextChar"/>
    <w:uiPriority w:val="99"/>
    <w:semiHidden/>
    <w:unhideWhenUsed/>
    <w:rsid w:val="00520C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20CE6"/>
    <w:rPr>
      <w:rFonts w:ascii="Consolas" w:hAnsi="Consolas"/>
      <w:kern w:val="0"/>
      <w:sz w:val="21"/>
      <w:szCs w:val="21"/>
      <w:lang w:val="en-US"/>
      <w14:ligatures w14:val="none"/>
    </w:rPr>
  </w:style>
  <w:style w:type="table" w:styleId="TableGrid">
    <w:name w:val="Table Grid"/>
    <w:basedOn w:val="TableNormal"/>
    <w:uiPriority w:val="39"/>
    <w:rsid w:val="00F8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7708"/>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974"/>
    <w:rPr>
      <w:color w:val="0563C1" w:themeColor="hyperlink"/>
      <w:u w:val="single"/>
    </w:rPr>
  </w:style>
  <w:style w:type="character" w:styleId="UnresolvedMention">
    <w:name w:val="Unresolved Mention"/>
    <w:basedOn w:val="DefaultParagraphFont"/>
    <w:uiPriority w:val="99"/>
    <w:semiHidden/>
    <w:unhideWhenUsed/>
    <w:rsid w:val="0050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7BD5F-286C-4F67-8E8D-CE9066851724}">
  <ds:schemaRefs>
    <ds:schemaRef ds:uri="http://schemas.microsoft.com/sharepoint/v3/contenttype/forms"/>
  </ds:schemaRefs>
</ds:datastoreItem>
</file>

<file path=customXml/itemProps2.xml><?xml version="1.0" encoding="utf-8"?>
<ds:datastoreItem xmlns:ds="http://schemas.openxmlformats.org/officeDocument/2006/customXml" ds:itemID="{D897D3FB-AAAD-4FF9-B90B-0A8960C63A77}">
  <ds:schemaRefs>
    <ds:schemaRef ds:uri="http://schemas.openxmlformats.org/officeDocument/2006/bibliography"/>
  </ds:schemaRefs>
</ds:datastoreItem>
</file>

<file path=customXml/itemProps3.xml><?xml version="1.0" encoding="utf-8"?>
<ds:datastoreItem xmlns:ds="http://schemas.openxmlformats.org/officeDocument/2006/customXml" ds:itemID="{956C9160-9AA8-4FAC-9518-E2ADDDEFA764}">
  <ds:schemaRefs>
    <ds:schemaRef ds:uri="ab897e66-8555-453e-a498-d234c2d9a514"/>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6D55529-A00F-47C7-A42B-DB6ADBDD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46</Pages>
  <Words>22103</Words>
  <Characters>128198</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I. Rogoja</cp:lastModifiedBy>
  <cp:revision>10</cp:revision>
  <dcterms:created xsi:type="dcterms:W3CDTF">2025-07-08T13:25:00Z</dcterms:created>
  <dcterms:modified xsi:type="dcterms:W3CDTF">2025-07-21T14:50:00Z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vt:lpwstr>
  </property>
  <property fmtid="{D5CDD505-2E9C-101B-9397-08002B2CF9AE}" pid="3" name="ClassificationContentMarkingFooterFontProps">
    <vt:lpwstr>#000000,8,Calibri</vt:lpwstr>
  </property>
  <property fmtid="{D5CDD505-2E9C-101B-9397-08002B2CF9AE}" pid="4" name="ClassificationContentMarkingFooterText">
    <vt:lpwstr>Atenţie! Se interzice deţinerea, sustragerea, alterarea, multiplicarea, distrugerea sau folosirea  acestui document fără a dispune de drept de acces autorizat.</vt:lpwstr>
  </property>
  <property fmtid="{D5CDD505-2E9C-101B-9397-08002B2CF9AE}" pid="5" name="ContentTypeId">
    <vt:lpwstr>0x01010041CC8FD9FC602D47942046F00E7457D2</vt:lpwstr>
  </property>
  <property fmtid="{D5CDD505-2E9C-101B-9397-08002B2CF9AE}" pid="6" name="TitusGUID">
    <vt:lpwstr>ed4f75c6-7d01-4aec-a56c-60f04e571cc7</vt:lpwstr>
  </property>
  <property fmtid="{D5CDD505-2E9C-101B-9397-08002B2CF9AE}" pid="7" name="Clasificare">
    <vt:lpwstr>NONE</vt:lpwstr>
  </property>
  <property fmtid="{D5CDD505-2E9C-101B-9397-08002B2CF9AE}" pid="8" name="MSIP_Label_38962dcf-d39f-4edc-a396-338a56ba9170_Enabled">
    <vt:lpwstr>true</vt:lpwstr>
  </property>
  <property fmtid="{D5CDD505-2E9C-101B-9397-08002B2CF9AE}" pid="9" name="MSIP_Label_38962dcf-d39f-4edc-a396-338a56ba9170_SetDate">
    <vt:lpwstr>2025-07-21T14:50:40Z</vt:lpwstr>
  </property>
  <property fmtid="{D5CDD505-2E9C-101B-9397-08002B2CF9AE}" pid="10" name="MSIP_Label_38962dcf-d39f-4edc-a396-338a56ba9170_Method">
    <vt:lpwstr>Privileged</vt:lpwstr>
  </property>
  <property fmtid="{D5CDD505-2E9C-101B-9397-08002B2CF9AE}" pid="11" name="MSIP_Label_38962dcf-d39f-4edc-a396-338a56ba9170_Name">
    <vt:lpwstr>NONE</vt:lpwstr>
  </property>
  <property fmtid="{D5CDD505-2E9C-101B-9397-08002B2CF9AE}" pid="12" name="MSIP_Label_38962dcf-d39f-4edc-a396-338a56ba9170_SiteId">
    <vt:lpwstr>5887d430-0034-4561-b771-12c77faf2fa0</vt:lpwstr>
  </property>
  <property fmtid="{D5CDD505-2E9C-101B-9397-08002B2CF9AE}" pid="13" name="MSIP_Label_38962dcf-d39f-4edc-a396-338a56ba9170_ActionId">
    <vt:lpwstr>8c1ef850-6b70-4629-a223-8acac633f3cf</vt:lpwstr>
  </property>
  <property fmtid="{D5CDD505-2E9C-101B-9397-08002B2CF9AE}" pid="14" name="MSIP_Label_38962dcf-d39f-4edc-a396-338a56ba9170_ContentBits">
    <vt:lpwstr>0</vt:lpwstr>
  </property>
</Properties>
</file>